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F7C" w:rsidRPr="008C7F7C" w:rsidRDefault="008C7F7C" w:rsidP="008C7F7C">
      <w:pPr>
        <w:widowControl w:val="0"/>
        <w:autoSpaceDE w:val="0"/>
        <w:autoSpaceDN w:val="0"/>
        <w:adjustRightInd w:val="0"/>
        <w:spacing w:after="280"/>
        <w:jc w:val="right"/>
        <w:rPr>
          <w:rFonts w:ascii="Times" w:hAnsi="Times" w:cs="Times"/>
          <w:b/>
          <w:bCs/>
        </w:rPr>
      </w:pPr>
      <w:r w:rsidRPr="008C7F7C">
        <w:rPr>
          <w:rFonts w:ascii="Times" w:hAnsi="Times" w:cs="Times"/>
          <w:b/>
          <w:bCs/>
        </w:rPr>
        <w:t>N. 02892/</w:t>
      </w:r>
      <w:proofErr w:type="gramStart"/>
      <w:r w:rsidRPr="008C7F7C">
        <w:rPr>
          <w:rFonts w:ascii="Times" w:hAnsi="Times" w:cs="Times"/>
          <w:b/>
          <w:bCs/>
        </w:rPr>
        <w:t>2014REG.PROV.COLL</w:t>
      </w:r>
      <w:proofErr w:type="gramEnd"/>
      <w:r w:rsidRPr="008C7F7C">
        <w:rPr>
          <w:rFonts w:ascii="Times" w:hAnsi="Times" w:cs="Times"/>
          <w:b/>
          <w:bCs/>
        </w:rPr>
        <w:t>.</w:t>
      </w:r>
    </w:p>
    <w:p w:rsidR="008C7F7C" w:rsidRPr="008C7F7C" w:rsidRDefault="008C7F7C" w:rsidP="008C7F7C">
      <w:pPr>
        <w:widowControl w:val="0"/>
        <w:autoSpaceDE w:val="0"/>
        <w:autoSpaceDN w:val="0"/>
        <w:adjustRightInd w:val="0"/>
        <w:spacing w:after="280"/>
        <w:jc w:val="right"/>
        <w:rPr>
          <w:rFonts w:ascii="Times" w:hAnsi="Times" w:cs="Times"/>
          <w:b/>
          <w:bCs/>
        </w:rPr>
      </w:pPr>
      <w:r w:rsidRPr="008C7F7C">
        <w:rPr>
          <w:rFonts w:ascii="Times" w:hAnsi="Times" w:cs="Times"/>
          <w:b/>
          <w:bCs/>
        </w:rPr>
        <w:t xml:space="preserve">N. 02828/2008 </w:t>
      </w:r>
      <w:proofErr w:type="gramStart"/>
      <w:r w:rsidRPr="008C7F7C">
        <w:rPr>
          <w:rFonts w:ascii="Times" w:hAnsi="Times" w:cs="Times"/>
          <w:b/>
          <w:bCs/>
        </w:rPr>
        <w:t>REG.RIC</w:t>
      </w:r>
      <w:proofErr w:type="gramEnd"/>
      <w:r w:rsidRPr="008C7F7C">
        <w:rPr>
          <w:rFonts w:ascii="Times" w:hAnsi="Times" w:cs="Times"/>
          <w:b/>
          <w:bCs/>
        </w:rPr>
        <w:t>.</w:t>
      </w:r>
    </w:p>
    <w:p w:rsidR="008C7F7C" w:rsidRPr="008C7F7C" w:rsidRDefault="008C7F7C" w:rsidP="008C7F7C">
      <w:pPr>
        <w:widowControl w:val="0"/>
        <w:autoSpaceDE w:val="0"/>
        <w:autoSpaceDN w:val="0"/>
        <w:adjustRightInd w:val="0"/>
        <w:spacing w:after="320"/>
        <w:jc w:val="center"/>
        <w:rPr>
          <w:rFonts w:ascii="Garamond" w:hAnsi="Garamond" w:cs="Garamond"/>
          <w:b/>
          <w:bCs/>
          <w:spacing w:val="200"/>
          <w:kern w:val="1"/>
        </w:rPr>
      </w:pPr>
      <w:r w:rsidRPr="008C7F7C">
        <w:rPr>
          <w:rFonts w:ascii="Garamond" w:hAnsi="Garamond" w:cs="Garamond"/>
          <w:b/>
          <w:bCs/>
          <w:noProof/>
          <w:spacing w:val="200"/>
          <w:kern w:val="1"/>
        </w:rPr>
        <w:drawing>
          <wp:inline distT="0" distB="0" distL="0" distR="0" wp14:anchorId="033E59E7" wp14:editId="0A0BAE44">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8C7F7C" w:rsidRPr="008C7F7C" w:rsidRDefault="008C7F7C" w:rsidP="008C7F7C">
      <w:pPr>
        <w:widowControl w:val="0"/>
        <w:autoSpaceDE w:val="0"/>
        <w:autoSpaceDN w:val="0"/>
        <w:adjustRightInd w:val="0"/>
        <w:spacing w:after="320"/>
        <w:jc w:val="center"/>
        <w:rPr>
          <w:rFonts w:ascii="Garamond" w:hAnsi="Garamond" w:cs="Garamond"/>
          <w:b/>
          <w:bCs/>
          <w:spacing w:val="200"/>
          <w:kern w:val="1"/>
        </w:rPr>
      </w:pPr>
      <w:proofErr w:type="gramStart"/>
      <w:r w:rsidRPr="008C7F7C">
        <w:rPr>
          <w:rFonts w:ascii="Garamond" w:hAnsi="Garamond" w:cs="Garamond"/>
          <w:b/>
          <w:bCs/>
          <w:spacing w:val="200"/>
          <w:kern w:val="1"/>
        </w:rPr>
        <w:t>REPUBBLICA ITALIANA</w:t>
      </w:r>
      <w:proofErr w:type="gramEnd"/>
    </w:p>
    <w:p w:rsidR="008C7F7C" w:rsidRPr="008C7F7C" w:rsidRDefault="008C7F7C" w:rsidP="008C7F7C">
      <w:pPr>
        <w:widowControl w:val="0"/>
        <w:autoSpaceDE w:val="0"/>
        <w:autoSpaceDN w:val="0"/>
        <w:adjustRightInd w:val="0"/>
        <w:spacing w:after="280"/>
        <w:jc w:val="center"/>
        <w:rPr>
          <w:rFonts w:ascii="Garamond" w:hAnsi="Garamond" w:cs="Garamond"/>
          <w:b/>
          <w:bCs/>
          <w:kern w:val="1"/>
        </w:rPr>
      </w:pPr>
      <w:r w:rsidRPr="008C7F7C">
        <w:rPr>
          <w:rFonts w:ascii="Garamond" w:hAnsi="Garamond" w:cs="Garamond"/>
          <w:b/>
          <w:bCs/>
          <w:kern w:val="1"/>
        </w:rPr>
        <w:t>IN NOME DEL POPOLO ITALIANO</w:t>
      </w:r>
    </w:p>
    <w:p w:rsidR="008C7F7C" w:rsidRPr="008C7F7C" w:rsidRDefault="008C7F7C" w:rsidP="008C7F7C">
      <w:pPr>
        <w:widowControl w:val="0"/>
        <w:autoSpaceDE w:val="0"/>
        <w:autoSpaceDN w:val="0"/>
        <w:adjustRightInd w:val="0"/>
        <w:spacing w:after="340"/>
        <w:jc w:val="center"/>
        <w:rPr>
          <w:rFonts w:ascii="Garamond" w:hAnsi="Garamond" w:cs="Garamond"/>
          <w:b/>
          <w:bCs/>
          <w:kern w:val="1"/>
        </w:rPr>
      </w:pPr>
      <w:r w:rsidRPr="008C7F7C">
        <w:rPr>
          <w:rFonts w:ascii="Garamond" w:hAnsi="Garamond" w:cs="Garamond"/>
          <w:b/>
          <w:bCs/>
          <w:kern w:val="1"/>
        </w:rPr>
        <w:t>Il Consiglio di Stato</w:t>
      </w:r>
    </w:p>
    <w:p w:rsidR="008C7F7C" w:rsidRPr="008C7F7C" w:rsidRDefault="008C7F7C" w:rsidP="008C7F7C">
      <w:pPr>
        <w:widowControl w:val="0"/>
        <w:autoSpaceDE w:val="0"/>
        <w:autoSpaceDN w:val="0"/>
        <w:adjustRightInd w:val="0"/>
        <w:spacing w:after="340"/>
        <w:jc w:val="center"/>
        <w:rPr>
          <w:rFonts w:ascii="Garamond" w:hAnsi="Garamond" w:cs="Garamond"/>
          <w:b/>
          <w:bCs/>
          <w:kern w:val="1"/>
        </w:rPr>
      </w:pPr>
      <w:r w:rsidRPr="008C7F7C">
        <w:rPr>
          <w:rFonts w:ascii="Garamond" w:hAnsi="Garamond" w:cs="Garamond"/>
          <w:b/>
          <w:bCs/>
          <w:kern w:val="1"/>
        </w:rPr>
        <w:t>in sede giurisdizionale (Sezione Terza)</w:t>
      </w:r>
    </w:p>
    <w:p w:rsidR="008C7F7C" w:rsidRPr="008C7F7C" w:rsidRDefault="008C7F7C" w:rsidP="008C7F7C">
      <w:pPr>
        <w:widowControl w:val="0"/>
        <w:autoSpaceDE w:val="0"/>
        <w:autoSpaceDN w:val="0"/>
        <w:adjustRightInd w:val="0"/>
        <w:ind w:firstLine="740"/>
        <w:rPr>
          <w:rFonts w:ascii="Garamond" w:hAnsi="Garamond" w:cs="Garamond"/>
          <w:kern w:val="1"/>
        </w:rPr>
      </w:pPr>
      <w:proofErr w:type="gramStart"/>
      <w:r w:rsidRPr="008C7F7C">
        <w:rPr>
          <w:rFonts w:ascii="Garamond" w:hAnsi="Garamond" w:cs="Garamond"/>
          <w:kern w:val="1"/>
        </w:rPr>
        <w:t>ha</w:t>
      </w:r>
      <w:proofErr w:type="gramEnd"/>
      <w:r w:rsidRPr="008C7F7C">
        <w:rPr>
          <w:rFonts w:ascii="Garamond" w:hAnsi="Garamond" w:cs="Garamond"/>
          <w:kern w:val="1"/>
        </w:rPr>
        <w:t xml:space="preserve"> pronunciato la presente</w:t>
      </w:r>
    </w:p>
    <w:p w:rsidR="008C7F7C" w:rsidRPr="008C7F7C" w:rsidRDefault="008C7F7C" w:rsidP="008C7F7C">
      <w:pPr>
        <w:widowControl w:val="0"/>
        <w:autoSpaceDE w:val="0"/>
        <w:autoSpaceDN w:val="0"/>
        <w:adjustRightInd w:val="0"/>
        <w:spacing w:after="340"/>
        <w:jc w:val="center"/>
        <w:rPr>
          <w:rFonts w:ascii="Garamond" w:hAnsi="Garamond" w:cs="Garamond"/>
          <w:b/>
          <w:bCs/>
          <w:kern w:val="1"/>
        </w:rPr>
      </w:pPr>
      <w:r w:rsidRPr="008C7F7C">
        <w:rPr>
          <w:rFonts w:ascii="Garamond" w:hAnsi="Garamond" w:cs="Garamond"/>
          <w:b/>
          <w:bCs/>
          <w:kern w:val="1"/>
        </w:rPr>
        <w:t>SENTENZA</w:t>
      </w:r>
    </w:p>
    <w:p w:rsidR="008C7F7C" w:rsidRPr="008C7F7C" w:rsidRDefault="008C7F7C" w:rsidP="008C7F7C">
      <w:pPr>
        <w:widowControl w:val="0"/>
        <w:autoSpaceDE w:val="0"/>
        <w:autoSpaceDN w:val="0"/>
        <w:adjustRightInd w:val="0"/>
        <w:jc w:val="both"/>
        <w:rPr>
          <w:rFonts w:ascii="Garamond" w:hAnsi="Garamond" w:cs="Garamond"/>
          <w:kern w:val="1"/>
        </w:rPr>
      </w:pPr>
      <w:proofErr w:type="gramStart"/>
      <w:r w:rsidRPr="008C7F7C">
        <w:rPr>
          <w:rFonts w:ascii="Garamond" w:hAnsi="Garamond" w:cs="Garamond"/>
          <w:kern w:val="1"/>
        </w:rPr>
        <w:t>sul</w:t>
      </w:r>
      <w:proofErr w:type="gramEnd"/>
      <w:r w:rsidRPr="008C7F7C">
        <w:rPr>
          <w:rFonts w:ascii="Garamond" w:hAnsi="Garamond" w:cs="Garamond"/>
          <w:kern w:val="1"/>
        </w:rPr>
        <w:t xml:space="preserve"> ricorso numero di registro generale 2828 del 2008, proposto da:  Medicina Democratica </w:t>
      </w:r>
      <w:proofErr w:type="spellStart"/>
      <w:r w:rsidRPr="008C7F7C">
        <w:rPr>
          <w:rFonts w:ascii="Garamond" w:hAnsi="Garamond" w:cs="Garamond"/>
          <w:kern w:val="1"/>
        </w:rPr>
        <w:t>Movim</w:t>
      </w:r>
      <w:proofErr w:type="spellEnd"/>
      <w:r w:rsidRPr="008C7F7C">
        <w:rPr>
          <w:rFonts w:ascii="Garamond" w:hAnsi="Garamond" w:cs="Garamond"/>
          <w:kern w:val="1"/>
        </w:rPr>
        <w:t xml:space="preserve">. di Lotta per la Salute S.C.A R.L, rappresentato e difeso dall'avv. Alessandra Mari, con domicilio eletto presso Alessandra Mari in Roma, piazza S. Anastasia, 7; Medicina Democratica -Movimento di Lotta per la Salute </w:t>
      </w:r>
      <w:proofErr w:type="spellStart"/>
      <w:r w:rsidRPr="008C7F7C">
        <w:rPr>
          <w:rFonts w:ascii="Garamond" w:hAnsi="Garamond" w:cs="Garamond"/>
          <w:kern w:val="1"/>
        </w:rPr>
        <w:t>Onlus</w:t>
      </w:r>
      <w:proofErr w:type="spellEnd"/>
      <w:r w:rsidRPr="008C7F7C">
        <w:rPr>
          <w:rFonts w:ascii="Garamond" w:hAnsi="Garamond" w:cs="Garamond"/>
          <w:kern w:val="1"/>
        </w:rPr>
        <w:t xml:space="preserve">; </w:t>
      </w:r>
    </w:p>
    <w:p w:rsidR="008C7F7C" w:rsidRPr="008C7F7C" w:rsidRDefault="008C7F7C" w:rsidP="008C7F7C">
      <w:pPr>
        <w:widowControl w:val="0"/>
        <w:autoSpaceDE w:val="0"/>
        <w:autoSpaceDN w:val="0"/>
        <w:adjustRightInd w:val="0"/>
        <w:jc w:val="center"/>
        <w:rPr>
          <w:rFonts w:ascii="Garamond" w:hAnsi="Garamond" w:cs="Garamond"/>
          <w:i/>
          <w:iCs/>
          <w:kern w:val="1"/>
        </w:rPr>
      </w:pPr>
      <w:proofErr w:type="gramStart"/>
      <w:r w:rsidRPr="008C7F7C">
        <w:rPr>
          <w:rFonts w:ascii="Garamond" w:hAnsi="Garamond" w:cs="Garamond"/>
          <w:i/>
          <w:iCs/>
          <w:kern w:val="1"/>
        </w:rPr>
        <w:t>contro</w:t>
      </w:r>
      <w:proofErr w:type="gramEnd"/>
    </w:p>
    <w:p w:rsidR="008C7F7C" w:rsidRPr="008C7F7C" w:rsidRDefault="008C7F7C" w:rsidP="008C7F7C">
      <w:pPr>
        <w:widowControl w:val="0"/>
        <w:autoSpaceDE w:val="0"/>
        <w:autoSpaceDN w:val="0"/>
        <w:adjustRightInd w:val="0"/>
        <w:jc w:val="both"/>
        <w:rPr>
          <w:rFonts w:ascii="Garamond" w:hAnsi="Garamond" w:cs="Garamond"/>
          <w:kern w:val="1"/>
        </w:rPr>
      </w:pPr>
      <w:r w:rsidRPr="008C7F7C">
        <w:rPr>
          <w:rFonts w:ascii="Garamond" w:hAnsi="Garamond" w:cs="Garamond"/>
          <w:kern w:val="1"/>
        </w:rPr>
        <w:t xml:space="preserve">Ministero della Salute; Regione Lombardia, rappresentato e difeso dagli avv. Federico Tedeschini, Pio Dario </w:t>
      </w:r>
      <w:proofErr w:type="spellStart"/>
      <w:r w:rsidRPr="008C7F7C">
        <w:rPr>
          <w:rFonts w:ascii="Garamond" w:hAnsi="Garamond" w:cs="Garamond"/>
          <w:kern w:val="1"/>
        </w:rPr>
        <w:t>Vivone</w:t>
      </w:r>
      <w:proofErr w:type="spellEnd"/>
      <w:r w:rsidRPr="008C7F7C">
        <w:rPr>
          <w:rFonts w:ascii="Garamond" w:hAnsi="Garamond" w:cs="Garamond"/>
          <w:kern w:val="1"/>
        </w:rPr>
        <w:t xml:space="preserve">, Maria Emilia Moretti, con domicilio eletto presso Federico Tedeschini in Roma, largo Messico, </w:t>
      </w:r>
      <w:proofErr w:type="gramStart"/>
      <w:r w:rsidRPr="008C7F7C">
        <w:rPr>
          <w:rFonts w:ascii="Garamond" w:hAnsi="Garamond" w:cs="Garamond"/>
          <w:kern w:val="1"/>
        </w:rPr>
        <w:t>7</w:t>
      </w:r>
      <w:proofErr w:type="gramEnd"/>
      <w:r w:rsidRPr="008C7F7C">
        <w:rPr>
          <w:rFonts w:ascii="Garamond" w:hAnsi="Garamond" w:cs="Garamond"/>
          <w:kern w:val="1"/>
        </w:rPr>
        <w:t xml:space="preserve">; Fondazione </w:t>
      </w:r>
      <w:proofErr w:type="spellStart"/>
      <w:r w:rsidRPr="008C7F7C">
        <w:rPr>
          <w:rFonts w:ascii="Garamond" w:hAnsi="Garamond" w:cs="Garamond"/>
          <w:kern w:val="1"/>
        </w:rPr>
        <w:t>Irccs</w:t>
      </w:r>
      <w:proofErr w:type="spellEnd"/>
      <w:r w:rsidRPr="008C7F7C">
        <w:rPr>
          <w:rFonts w:ascii="Garamond" w:hAnsi="Garamond" w:cs="Garamond"/>
          <w:kern w:val="1"/>
        </w:rPr>
        <w:t xml:space="preserve"> - Istituto Nazionale dei Tumori di Milano, rappresentato e difeso dall'avv. Beniamino Caravita Di Toritto, con domicilio eletto presso Beniamino Caravita Di Toritto in Roma, via di Porta </w:t>
      </w:r>
      <w:proofErr w:type="spellStart"/>
      <w:r w:rsidRPr="008C7F7C">
        <w:rPr>
          <w:rFonts w:ascii="Garamond" w:hAnsi="Garamond" w:cs="Garamond"/>
          <w:kern w:val="1"/>
        </w:rPr>
        <w:t>Pinciana</w:t>
      </w:r>
      <w:proofErr w:type="spellEnd"/>
      <w:r w:rsidRPr="008C7F7C">
        <w:rPr>
          <w:rFonts w:ascii="Garamond" w:hAnsi="Garamond" w:cs="Garamond"/>
          <w:kern w:val="1"/>
        </w:rPr>
        <w:t xml:space="preserve">, 6; </w:t>
      </w:r>
    </w:p>
    <w:p w:rsidR="008C7F7C" w:rsidRPr="008C7F7C" w:rsidRDefault="008C7F7C" w:rsidP="008C7F7C">
      <w:pPr>
        <w:widowControl w:val="0"/>
        <w:autoSpaceDE w:val="0"/>
        <w:autoSpaceDN w:val="0"/>
        <w:adjustRightInd w:val="0"/>
        <w:jc w:val="center"/>
        <w:rPr>
          <w:rFonts w:ascii="Garamond" w:hAnsi="Garamond" w:cs="Garamond"/>
          <w:i/>
          <w:iCs/>
          <w:kern w:val="1"/>
        </w:rPr>
      </w:pPr>
      <w:r w:rsidRPr="008C7F7C">
        <w:rPr>
          <w:rFonts w:ascii="Garamond" w:hAnsi="Garamond" w:cs="Garamond"/>
          <w:i/>
          <w:iCs/>
          <w:kern w:val="1"/>
        </w:rPr>
        <w:t xml:space="preserve">nei confronti </w:t>
      </w:r>
      <w:proofErr w:type="gramStart"/>
      <w:r w:rsidRPr="008C7F7C">
        <w:rPr>
          <w:rFonts w:ascii="Garamond" w:hAnsi="Garamond" w:cs="Garamond"/>
          <w:i/>
          <w:iCs/>
          <w:kern w:val="1"/>
        </w:rPr>
        <w:t>di</w:t>
      </w:r>
      <w:proofErr w:type="gramEnd"/>
    </w:p>
    <w:p w:rsidR="008C7F7C" w:rsidRPr="008C7F7C" w:rsidRDefault="008C7F7C" w:rsidP="008C7F7C">
      <w:pPr>
        <w:widowControl w:val="0"/>
        <w:autoSpaceDE w:val="0"/>
        <w:autoSpaceDN w:val="0"/>
        <w:adjustRightInd w:val="0"/>
        <w:jc w:val="both"/>
        <w:rPr>
          <w:rFonts w:ascii="Garamond" w:hAnsi="Garamond" w:cs="Garamond"/>
          <w:kern w:val="1"/>
        </w:rPr>
      </w:pPr>
      <w:r w:rsidRPr="008C7F7C">
        <w:rPr>
          <w:rFonts w:ascii="Garamond" w:hAnsi="Garamond" w:cs="Garamond"/>
          <w:kern w:val="1"/>
        </w:rPr>
        <w:t xml:space="preserve">Comune di Milano, </w:t>
      </w:r>
      <w:proofErr w:type="spellStart"/>
      <w:r w:rsidRPr="008C7F7C">
        <w:rPr>
          <w:rFonts w:ascii="Garamond" w:hAnsi="Garamond" w:cs="Garamond"/>
          <w:kern w:val="1"/>
        </w:rPr>
        <w:t>Rsu</w:t>
      </w:r>
      <w:proofErr w:type="spellEnd"/>
      <w:r w:rsidRPr="008C7F7C">
        <w:rPr>
          <w:rFonts w:ascii="Garamond" w:hAnsi="Garamond" w:cs="Garamond"/>
          <w:kern w:val="1"/>
        </w:rPr>
        <w:t xml:space="preserve"> </w:t>
      </w:r>
      <w:proofErr w:type="spellStart"/>
      <w:r w:rsidRPr="008C7F7C">
        <w:rPr>
          <w:rFonts w:ascii="Garamond" w:hAnsi="Garamond" w:cs="Garamond"/>
          <w:kern w:val="1"/>
        </w:rPr>
        <w:t>Rappr</w:t>
      </w:r>
      <w:proofErr w:type="spellEnd"/>
      <w:r w:rsidRPr="008C7F7C">
        <w:rPr>
          <w:rFonts w:ascii="Garamond" w:hAnsi="Garamond" w:cs="Garamond"/>
          <w:kern w:val="1"/>
        </w:rPr>
        <w:t xml:space="preserve">. Sindacale Unitaria Istituto Naz. Tumori di Milano; </w:t>
      </w:r>
    </w:p>
    <w:p w:rsidR="008C7F7C" w:rsidRPr="008C7F7C" w:rsidRDefault="008C7F7C" w:rsidP="008C7F7C">
      <w:pPr>
        <w:widowControl w:val="0"/>
        <w:autoSpaceDE w:val="0"/>
        <w:autoSpaceDN w:val="0"/>
        <w:adjustRightInd w:val="0"/>
        <w:jc w:val="center"/>
        <w:rPr>
          <w:rFonts w:ascii="Garamond" w:hAnsi="Garamond" w:cs="Garamond"/>
          <w:i/>
          <w:iCs/>
          <w:kern w:val="1"/>
        </w:rPr>
      </w:pPr>
      <w:proofErr w:type="gramStart"/>
      <w:r w:rsidRPr="008C7F7C">
        <w:rPr>
          <w:rFonts w:ascii="Garamond" w:hAnsi="Garamond" w:cs="Garamond"/>
          <w:i/>
          <w:iCs/>
          <w:kern w:val="1"/>
        </w:rPr>
        <w:t>p</w:t>
      </w:r>
      <w:proofErr w:type="gramEnd"/>
      <w:r w:rsidRPr="008C7F7C">
        <w:rPr>
          <w:rFonts w:ascii="Garamond" w:hAnsi="Garamond" w:cs="Garamond"/>
          <w:i/>
          <w:iCs/>
          <w:kern w:val="1"/>
        </w:rPr>
        <w:t>er la riforma</w:t>
      </w:r>
    </w:p>
    <w:p w:rsidR="008C7F7C" w:rsidRPr="008C7F7C" w:rsidRDefault="008C7F7C" w:rsidP="008C7F7C">
      <w:pPr>
        <w:widowControl w:val="0"/>
        <w:autoSpaceDE w:val="0"/>
        <w:autoSpaceDN w:val="0"/>
        <w:adjustRightInd w:val="0"/>
        <w:jc w:val="both"/>
        <w:rPr>
          <w:rFonts w:ascii="Garamond" w:hAnsi="Garamond" w:cs="Garamond"/>
          <w:kern w:val="1"/>
        </w:rPr>
      </w:pPr>
      <w:proofErr w:type="gramStart"/>
      <w:r w:rsidRPr="008C7F7C">
        <w:rPr>
          <w:rFonts w:ascii="Garamond" w:hAnsi="Garamond" w:cs="Garamond"/>
          <w:kern w:val="1"/>
        </w:rPr>
        <w:t>della</w:t>
      </w:r>
      <w:proofErr w:type="gramEnd"/>
      <w:r w:rsidRPr="008C7F7C">
        <w:rPr>
          <w:rFonts w:ascii="Garamond" w:hAnsi="Garamond" w:cs="Garamond"/>
          <w:kern w:val="1"/>
        </w:rPr>
        <w:t xml:space="preserve"> sentenza del T.A.R. LAZIO - ROMA: SEZIONE III QUA n. 11749/2007, resa tra le parti, concernente trasformazione dell'istituto </w:t>
      </w:r>
      <w:proofErr w:type="spellStart"/>
      <w:r w:rsidRPr="008C7F7C">
        <w:rPr>
          <w:rFonts w:ascii="Garamond" w:hAnsi="Garamond" w:cs="Garamond"/>
          <w:kern w:val="1"/>
        </w:rPr>
        <w:t>irccs</w:t>
      </w:r>
      <w:proofErr w:type="spellEnd"/>
      <w:r w:rsidRPr="008C7F7C">
        <w:rPr>
          <w:rFonts w:ascii="Garamond" w:hAnsi="Garamond" w:cs="Garamond"/>
          <w:kern w:val="1"/>
        </w:rPr>
        <w:t xml:space="preserve"> </w:t>
      </w:r>
      <w:proofErr w:type="spellStart"/>
      <w:r w:rsidRPr="008C7F7C">
        <w:rPr>
          <w:rFonts w:ascii="Garamond" w:hAnsi="Garamond" w:cs="Garamond"/>
          <w:kern w:val="1"/>
        </w:rPr>
        <w:t>ist.naz</w:t>
      </w:r>
      <w:proofErr w:type="spellEnd"/>
      <w:r w:rsidRPr="008C7F7C">
        <w:rPr>
          <w:rFonts w:ascii="Garamond" w:hAnsi="Garamond" w:cs="Garamond"/>
          <w:kern w:val="1"/>
        </w:rPr>
        <w:t xml:space="preserve">. tumori di </w:t>
      </w:r>
      <w:proofErr w:type="spellStart"/>
      <w:r w:rsidRPr="008C7F7C">
        <w:rPr>
          <w:rFonts w:ascii="Garamond" w:hAnsi="Garamond" w:cs="Garamond"/>
          <w:kern w:val="1"/>
        </w:rPr>
        <w:t>milano</w:t>
      </w:r>
      <w:proofErr w:type="spellEnd"/>
      <w:r w:rsidRPr="008C7F7C">
        <w:rPr>
          <w:rFonts w:ascii="Garamond" w:hAnsi="Garamond" w:cs="Garamond"/>
          <w:kern w:val="1"/>
        </w:rPr>
        <w:t xml:space="preserve"> in fondazione </w:t>
      </w:r>
      <w:proofErr w:type="spellStart"/>
      <w:r w:rsidRPr="008C7F7C">
        <w:rPr>
          <w:rFonts w:ascii="Garamond" w:hAnsi="Garamond" w:cs="Garamond"/>
          <w:kern w:val="1"/>
        </w:rPr>
        <w:t>irccs</w:t>
      </w:r>
      <w:proofErr w:type="spellEnd"/>
    </w:p>
    <w:p w:rsidR="008C7F7C" w:rsidRPr="008C7F7C" w:rsidRDefault="008C7F7C" w:rsidP="008C7F7C">
      <w:pPr>
        <w:widowControl w:val="0"/>
        <w:autoSpaceDE w:val="0"/>
        <w:autoSpaceDN w:val="0"/>
        <w:adjustRightInd w:val="0"/>
        <w:jc w:val="both"/>
        <w:rPr>
          <w:rFonts w:ascii="Garamond" w:hAnsi="Garamond" w:cs="Garamond"/>
          <w:kern w:val="1"/>
        </w:rPr>
      </w:pPr>
    </w:p>
    <w:p w:rsidR="008C7F7C" w:rsidRPr="008C7F7C" w:rsidRDefault="008C7F7C" w:rsidP="008C7F7C">
      <w:pPr>
        <w:widowControl w:val="0"/>
        <w:autoSpaceDE w:val="0"/>
        <w:autoSpaceDN w:val="0"/>
        <w:adjustRightInd w:val="0"/>
        <w:rPr>
          <w:rFonts w:ascii="Times" w:hAnsi="Times" w:cs="Times"/>
          <w:kern w:val="1"/>
        </w:rPr>
      </w:pPr>
    </w:p>
    <w:p w:rsidR="008C7F7C" w:rsidRPr="008C7F7C" w:rsidRDefault="008C7F7C" w:rsidP="008C7F7C">
      <w:pPr>
        <w:widowControl w:val="0"/>
        <w:autoSpaceDE w:val="0"/>
        <w:autoSpaceDN w:val="0"/>
        <w:adjustRightInd w:val="0"/>
        <w:jc w:val="both"/>
        <w:rPr>
          <w:rFonts w:ascii="Garamond" w:hAnsi="Garamond" w:cs="Garamond"/>
          <w:kern w:val="1"/>
        </w:rPr>
      </w:pPr>
      <w:r w:rsidRPr="008C7F7C">
        <w:rPr>
          <w:rFonts w:ascii="Garamond" w:hAnsi="Garamond" w:cs="Garamond"/>
          <w:kern w:val="1"/>
        </w:rPr>
        <w:t>Visti il ricorso in appello e i relativi allegati;</w:t>
      </w:r>
    </w:p>
    <w:p w:rsidR="008C7F7C" w:rsidRPr="008C7F7C" w:rsidRDefault="008C7F7C" w:rsidP="008C7F7C">
      <w:pPr>
        <w:widowControl w:val="0"/>
        <w:autoSpaceDE w:val="0"/>
        <w:autoSpaceDN w:val="0"/>
        <w:adjustRightInd w:val="0"/>
        <w:jc w:val="both"/>
        <w:rPr>
          <w:rFonts w:ascii="Garamond" w:hAnsi="Garamond" w:cs="Garamond"/>
          <w:kern w:val="1"/>
        </w:rPr>
      </w:pPr>
      <w:r w:rsidRPr="008C7F7C">
        <w:rPr>
          <w:rFonts w:ascii="Garamond" w:hAnsi="Garamond" w:cs="Garamond"/>
          <w:kern w:val="1"/>
        </w:rPr>
        <w:t>Viste le memorie difensive;</w:t>
      </w:r>
    </w:p>
    <w:p w:rsidR="008C7F7C" w:rsidRPr="008C7F7C" w:rsidRDefault="008C7F7C" w:rsidP="008C7F7C">
      <w:pPr>
        <w:widowControl w:val="0"/>
        <w:autoSpaceDE w:val="0"/>
        <w:autoSpaceDN w:val="0"/>
        <w:adjustRightInd w:val="0"/>
        <w:jc w:val="both"/>
        <w:rPr>
          <w:rFonts w:ascii="Garamond" w:hAnsi="Garamond" w:cs="Garamond"/>
          <w:kern w:val="1"/>
        </w:rPr>
      </w:pPr>
      <w:r w:rsidRPr="008C7F7C">
        <w:rPr>
          <w:rFonts w:ascii="Garamond" w:hAnsi="Garamond" w:cs="Garamond"/>
          <w:kern w:val="1"/>
        </w:rPr>
        <w:t>Visti tutti gli atti della causa;</w:t>
      </w:r>
    </w:p>
    <w:p w:rsidR="008C7F7C" w:rsidRPr="008C7F7C" w:rsidRDefault="008C7F7C" w:rsidP="008C7F7C">
      <w:pPr>
        <w:widowControl w:val="0"/>
        <w:autoSpaceDE w:val="0"/>
        <w:autoSpaceDN w:val="0"/>
        <w:adjustRightInd w:val="0"/>
        <w:jc w:val="both"/>
        <w:rPr>
          <w:rFonts w:ascii="Garamond" w:hAnsi="Garamond" w:cs="Garamond"/>
          <w:kern w:val="1"/>
        </w:rPr>
      </w:pPr>
      <w:r w:rsidRPr="008C7F7C">
        <w:rPr>
          <w:rFonts w:ascii="Garamond" w:hAnsi="Garamond" w:cs="Garamond"/>
          <w:kern w:val="1"/>
        </w:rPr>
        <w:t xml:space="preserve">Relatore nell'udienza pubblica del giorno 20 marzo 2014 il </w:t>
      </w:r>
      <w:proofErr w:type="spellStart"/>
      <w:proofErr w:type="gramStart"/>
      <w:r w:rsidRPr="008C7F7C">
        <w:rPr>
          <w:rFonts w:ascii="Garamond" w:hAnsi="Garamond" w:cs="Garamond"/>
          <w:kern w:val="1"/>
        </w:rPr>
        <w:t>Cons</w:t>
      </w:r>
      <w:proofErr w:type="spellEnd"/>
      <w:r w:rsidRPr="008C7F7C">
        <w:rPr>
          <w:rFonts w:ascii="Garamond" w:hAnsi="Garamond" w:cs="Garamond"/>
          <w:kern w:val="1"/>
        </w:rPr>
        <w:t>.</w:t>
      </w:r>
      <w:proofErr w:type="gramEnd"/>
      <w:r w:rsidRPr="008C7F7C">
        <w:rPr>
          <w:rFonts w:ascii="Garamond" w:hAnsi="Garamond" w:cs="Garamond"/>
          <w:kern w:val="1"/>
        </w:rPr>
        <w:t xml:space="preserve"> Michele Corradino e uditi per le parti gli avvocati Mari, </w:t>
      </w:r>
      <w:proofErr w:type="spellStart"/>
      <w:r w:rsidRPr="008C7F7C">
        <w:rPr>
          <w:rFonts w:ascii="Garamond" w:hAnsi="Garamond" w:cs="Garamond"/>
          <w:kern w:val="1"/>
        </w:rPr>
        <w:t>Granara</w:t>
      </w:r>
      <w:proofErr w:type="spellEnd"/>
      <w:r w:rsidRPr="008C7F7C">
        <w:rPr>
          <w:rFonts w:ascii="Garamond" w:hAnsi="Garamond" w:cs="Garamond"/>
          <w:kern w:val="1"/>
        </w:rPr>
        <w:t xml:space="preserve"> su delega di Tedeschini e Caravita Di Toritto;</w:t>
      </w:r>
    </w:p>
    <w:p w:rsidR="008C7F7C" w:rsidRPr="008C7F7C" w:rsidRDefault="008C7F7C" w:rsidP="008C7F7C">
      <w:pPr>
        <w:widowControl w:val="0"/>
        <w:autoSpaceDE w:val="0"/>
        <w:autoSpaceDN w:val="0"/>
        <w:adjustRightInd w:val="0"/>
        <w:jc w:val="both"/>
        <w:rPr>
          <w:rFonts w:ascii="Garamond" w:hAnsi="Garamond" w:cs="Garamond"/>
          <w:kern w:val="1"/>
        </w:rPr>
      </w:pPr>
      <w:r w:rsidRPr="008C7F7C">
        <w:rPr>
          <w:rFonts w:ascii="Garamond" w:hAnsi="Garamond" w:cs="Garamond"/>
          <w:kern w:val="1"/>
        </w:rPr>
        <w:t>Ritenuto e considerato in fatto e diritto quanto segue.</w:t>
      </w:r>
    </w:p>
    <w:p w:rsidR="008C7F7C" w:rsidRPr="008C7F7C" w:rsidRDefault="008C7F7C" w:rsidP="008C7F7C">
      <w:pPr>
        <w:widowControl w:val="0"/>
        <w:autoSpaceDE w:val="0"/>
        <w:autoSpaceDN w:val="0"/>
        <w:adjustRightInd w:val="0"/>
        <w:jc w:val="both"/>
        <w:rPr>
          <w:rFonts w:ascii="Garamond" w:hAnsi="Garamond" w:cs="Garamond"/>
          <w:kern w:val="1"/>
        </w:rPr>
      </w:pPr>
    </w:p>
    <w:p w:rsidR="008C7F7C" w:rsidRPr="008C7F7C" w:rsidRDefault="008C7F7C" w:rsidP="008C7F7C">
      <w:pPr>
        <w:widowControl w:val="0"/>
        <w:autoSpaceDE w:val="0"/>
        <w:autoSpaceDN w:val="0"/>
        <w:adjustRightInd w:val="0"/>
        <w:rPr>
          <w:rFonts w:ascii="Times" w:hAnsi="Times" w:cs="Times"/>
          <w:kern w:val="1"/>
        </w:rPr>
      </w:pPr>
    </w:p>
    <w:p w:rsidR="008C7F7C" w:rsidRPr="008C7F7C" w:rsidRDefault="008C7F7C" w:rsidP="008C7F7C">
      <w:pPr>
        <w:widowControl w:val="0"/>
        <w:autoSpaceDE w:val="0"/>
        <w:autoSpaceDN w:val="0"/>
        <w:adjustRightInd w:val="0"/>
        <w:jc w:val="center"/>
        <w:rPr>
          <w:rFonts w:ascii="Garamond" w:hAnsi="Garamond" w:cs="Garamond"/>
          <w:kern w:val="1"/>
        </w:rPr>
      </w:pPr>
      <w:r w:rsidRPr="008C7F7C">
        <w:rPr>
          <w:rFonts w:ascii="Garamond" w:hAnsi="Garamond" w:cs="Garamond"/>
          <w:kern w:val="1"/>
        </w:rPr>
        <w:lastRenderedPageBreak/>
        <w:t>FATTO</w:t>
      </w:r>
    </w:p>
    <w:p w:rsidR="008C7F7C" w:rsidRPr="008C7F7C" w:rsidRDefault="008C7F7C" w:rsidP="008C7F7C">
      <w:pPr>
        <w:widowControl w:val="0"/>
        <w:autoSpaceDE w:val="0"/>
        <w:autoSpaceDN w:val="0"/>
        <w:adjustRightInd w:val="0"/>
        <w:jc w:val="both"/>
        <w:rPr>
          <w:rFonts w:ascii="Garamond" w:hAnsi="Garamond" w:cs="Garamond"/>
          <w:kern w:val="1"/>
        </w:rPr>
      </w:pPr>
      <w:r w:rsidRPr="008C7F7C">
        <w:rPr>
          <w:rFonts w:ascii="Garamond" w:hAnsi="Garamond" w:cs="Garamond"/>
          <w:kern w:val="1"/>
        </w:rPr>
        <w:t xml:space="preserve">Con la sentenza n. 11749/2007 del 4.07.2007, depositata il 26.11.2007, il T.A.R. del Lazio, sezione terza-quater, ha dichiarato inammissibile il ricorso n. 9808/2006, presentato dalle associazioni Medicina Democratica Movimento di Lotta per la Salute </w:t>
      </w:r>
      <w:proofErr w:type="spellStart"/>
      <w:r w:rsidRPr="008C7F7C">
        <w:rPr>
          <w:rFonts w:ascii="Garamond" w:hAnsi="Garamond" w:cs="Garamond"/>
          <w:kern w:val="1"/>
        </w:rPr>
        <w:t>Soc</w:t>
      </w:r>
      <w:proofErr w:type="spellEnd"/>
      <w:r w:rsidRPr="008C7F7C">
        <w:rPr>
          <w:rFonts w:ascii="Garamond" w:hAnsi="Garamond" w:cs="Garamond"/>
          <w:kern w:val="1"/>
        </w:rPr>
        <w:t xml:space="preserve">. coop. S.r.l. e Medicina Democratica di Lotta per la Salute </w:t>
      </w:r>
      <w:proofErr w:type="spellStart"/>
      <w:r w:rsidRPr="008C7F7C">
        <w:rPr>
          <w:rFonts w:ascii="Garamond" w:hAnsi="Garamond" w:cs="Garamond"/>
          <w:kern w:val="1"/>
        </w:rPr>
        <w:t>Onlus</w:t>
      </w:r>
      <w:proofErr w:type="spellEnd"/>
      <w:r w:rsidRPr="008C7F7C">
        <w:rPr>
          <w:rFonts w:ascii="Garamond" w:hAnsi="Garamond" w:cs="Garamond"/>
          <w:kern w:val="1"/>
        </w:rPr>
        <w:t xml:space="preserve">, volto </w:t>
      </w:r>
      <w:proofErr w:type="gramStart"/>
      <w:r w:rsidRPr="008C7F7C">
        <w:rPr>
          <w:rFonts w:ascii="Garamond" w:hAnsi="Garamond" w:cs="Garamond"/>
          <w:kern w:val="1"/>
        </w:rPr>
        <w:t>ad</w:t>
      </w:r>
      <w:proofErr w:type="gramEnd"/>
      <w:r w:rsidRPr="008C7F7C">
        <w:rPr>
          <w:rFonts w:ascii="Garamond" w:hAnsi="Garamond" w:cs="Garamond"/>
          <w:kern w:val="1"/>
        </w:rPr>
        <w:t xml:space="preserve"> ottenere l’annullamento del decreto del 28.04.2006, emesso dal Ministero della Salute, e di tutti gli atti connessi, precedenti e conseguenti, attinenti alla trasformazione dell’Istituto Nazionale dei Tumori di Milano in Fondazione IRCCS e all’approvazione del relativo Statuto.</w:t>
      </w:r>
    </w:p>
    <w:p w:rsidR="008C7F7C" w:rsidRPr="008C7F7C" w:rsidRDefault="008C7F7C" w:rsidP="008C7F7C">
      <w:pPr>
        <w:widowControl w:val="0"/>
        <w:autoSpaceDE w:val="0"/>
        <w:autoSpaceDN w:val="0"/>
        <w:adjustRightInd w:val="0"/>
        <w:jc w:val="both"/>
        <w:rPr>
          <w:rFonts w:ascii="Garamond" w:hAnsi="Garamond" w:cs="Garamond"/>
          <w:kern w:val="1"/>
        </w:rPr>
      </w:pPr>
      <w:r w:rsidRPr="008C7F7C">
        <w:rPr>
          <w:rFonts w:ascii="Garamond" w:hAnsi="Garamond" w:cs="Garamond"/>
          <w:kern w:val="1"/>
        </w:rPr>
        <w:t xml:space="preserve">A fondamento del ricorso si prospettava l’illegittima privatizzazione dell’ente, sull’assunto che il procedimento </w:t>
      </w:r>
      <w:proofErr w:type="gramStart"/>
      <w:r w:rsidRPr="008C7F7C">
        <w:rPr>
          <w:rFonts w:ascii="Garamond" w:hAnsi="Garamond" w:cs="Garamond"/>
          <w:kern w:val="1"/>
        </w:rPr>
        <w:t>risultasse</w:t>
      </w:r>
      <w:proofErr w:type="gramEnd"/>
      <w:r w:rsidRPr="008C7F7C">
        <w:rPr>
          <w:rFonts w:ascii="Garamond" w:hAnsi="Garamond" w:cs="Garamond"/>
          <w:kern w:val="1"/>
        </w:rPr>
        <w:t xml:space="preserve"> viziato sotto molteplici aspetti, nonché l’illegittima riduzione della ricerca scientifica pubblica, finalizzata alla tutela della salute. Tale operazione è stata, in particolare prospettata, come causa di lesione di diritti e interessi delle persone tutelate dall’attività svolta dalle associazioni ricorrenti.</w:t>
      </w:r>
    </w:p>
    <w:p w:rsidR="008C7F7C" w:rsidRPr="008C7F7C" w:rsidRDefault="008C7F7C" w:rsidP="008C7F7C">
      <w:pPr>
        <w:widowControl w:val="0"/>
        <w:autoSpaceDE w:val="0"/>
        <w:autoSpaceDN w:val="0"/>
        <w:adjustRightInd w:val="0"/>
        <w:jc w:val="both"/>
        <w:rPr>
          <w:rFonts w:ascii="Garamond" w:hAnsi="Garamond" w:cs="Garamond"/>
          <w:kern w:val="1"/>
        </w:rPr>
      </w:pPr>
      <w:r w:rsidRPr="008C7F7C">
        <w:rPr>
          <w:rFonts w:ascii="Garamond" w:hAnsi="Garamond" w:cs="Garamond"/>
          <w:kern w:val="1"/>
        </w:rPr>
        <w:t xml:space="preserve">Il T.A.R., pur riconoscendo la legittimazione attiva a proporre in astratto il ricorso, ha dichiarato quest’ultimo inammissibile per difetto </w:t>
      </w:r>
      <w:proofErr w:type="gramStart"/>
      <w:r w:rsidRPr="008C7F7C">
        <w:rPr>
          <w:rFonts w:ascii="Garamond" w:hAnsi="Garamond" w:cs="Garamond"/>
          <w:kern w:val="1"/>
        </w:rPr>
        <w:t xml:space="preserve">di </w:t>
      </w:r>
      <w:proofErr w:type="gramEnd"/>
      <w:r w:rsidRPr="008C7F7C">
        <w:rPr>
          <w:rFonts w:ascii="Garamond" w:hAnsi="Garamond" w:cs="Garamond"/>
          <w:kern w:val="1"/>
        </w:rPr>
        <w:t>interesse delle associazioni indicate in epigrafe.</w:t>
      </w:r>
    </w:p>
    <w:p w:rsidR="008C7F7C" w:rsidRPr="008C7F7C" w:rsidRDefault="008C7F7C" w:rsidP="008C7F7C">
      <w:pPr>
        <w:widowControl w:val="0"/>
        <w:autoSpaceDE w:val="0"/>
        <w:autoSpaceDN w:val="0"/>
        <w:adjustRightInd w:val="0"/>
        <w:jc w:val="both"/>
        <w:rPr>
          <w:rFonts w:ascii="Garamond" w:hAnsi="Garamond" w:cs="Garamond"/>
          <w:kern w:val="1"/>
        </w:rPr>
      </w:pPr>
      <w:proofErr w:type="gramStart"/>
      <w:r w:rsidRPr="008C7F7C">
        <w:rPr>
          <w:rFonts w:ascii="Garamond" w:hAnsi="Garamond" w:cs="Garamond"/>
          <w:kern w:val="1"/>
        </w:rPr>
        <w:t xml:space="preserve">Con ricorso il ricorso in epigrafe, Medicina Democratica Movimento di Lotta per la Salute </w:t>
      </w:r>
      <w:proofErr w:type="spellStart"/>
      <w:r w:rsidRPr="008C7F7C">
        <w:rPr>
          <w:rFonts w:ascii="Garamond" w:hAnsi="Garamond" w:cs="Garamond"/>
          <w:kern w:val="1"/>
        </w:rPr>
        <w:t>Soc</w:t>
      </w:r>
      <w:proofErr w:type="spellEnd"/>
      <w:r w:rsidRPr="008C7F7C">
        <w:rPr>
          <w:rFonts w:ascii="Garamond" w:hAnsi="Garamond" w:cs="Garamond"/>
          <w:kern w:val="1"/>
        </w:rPr>
        <w:t>. coop</w:t>
      </w:r>
      <w:proofErr w:type="gramEnd"/>
      <w:r w:rsidRPr="008C7F7C">
        <w:rPr>
          <w:rFonts w:ascii="Garamond" w:hAnsi="Garamond" w:cs="Garamond"/>
          <w:kern w:val="1"/>
        </w:rPr>
        <w:t xml:space="preserve">. S.r.l. e Medicina Democratica di Lotta per la Salute </w:t>
      </w:r>
      <w:proofErr w:type="spellStart"/>
      <w:r w:rsidRPr="008C7F7C">
        <w:rPr>
          <w:rFonts w:ascii="Garamond" w:hAnsi="Garamond" w:cs="Garamond"/>
          <w:kern w:val="1"/>
        </w:rPr>
        <w:t>Onlus</w:t>
      </w:r>
      <w:proofErr w:type="spellEnd"/>
      <w:r w:rsidRPr="008C7F7C">
        <w:rPr>
          <w:rFonts w:ascii="Garamond" w:hAnsi="Garamond" w:cs="Garamond"/>
          <w:kern w:val="1"/>
        </w:rPr>
        <w:t>, hanno presentato appello avverso la suddetta sentenza chiedendone l’annullamento.</w:t>
      </w:r>
    </w:p>
    <w:p w:rsidR="008C7F7C" w:rsidRPr="008C7F7C" w:rsidRDefault="008C7F7C" w:rsidP="008C7F7C">
      <w:pPr>
        <w:widowControl w:val="0"/>
        <w:autoSpaceDE w:val="0"/>
        <w:autoSpaceDN w:val="0"/>
        <w:adjustRightInd w:val="0"/>
        <w:jc w:val="both"/>
        <w:rPr>
          <w:rFonts w:ascii="Garamond" w:hAnsi="Garamond" w:cs="Garamond"/>
          <w:kern w:val="1"/>
        </w:rPr>
      </w:pPr>
      <w:r w:rsidRPr="008C7F7C">
        <w:rPr>
          <w:rFonts w:ascii="Garamond" w:hAnsi="Garamond" w:cs="Garamond"/>
          <w:kern w:val="1"/>
        </w:rPr>
        <w:t>Si è costituita la Fondazione IRCCS Istituto Nazionale dei Tumori di Milano, chiedendo che il ricorso sia dichiarato inammissibile o comunque rigettato.</w:t>
      </w:r>
    </w:p>
    <w:p w:rsidR="008C7F7C" w:rsidRPr="008C7F7C" w:rsidRDefault="008C7F7C" w:rsidP="008C7F7C">
      <w:pPr>
        <w:widowControl w:val="0"/>
        <w:autoSpaceDE w:val="0"/>
        <w:autoSpaceDN w:val="0"/>
        <w:adjustRightInd w:val="0"/>
        <w:jc w:val="both"/>
        <w:rPr>
          <w:rFonts w:ascii="Garamond" w:hAnsi="Garamond" w:cs="Garamond"/>
          <w:kern w:val="1"/>
        </w:rPr>
      </w:pPr>
      <w:r w:rsidRPr="008C7F7C">
        <w:rPr>
          <w:rFonts w:ascii="Garamond" w:hAnsi="Garamond" w:cs="Garamond"/>
          <w:kern w:val="1"/>
        </w:rPr>
        <w:t>Si è altresì costituita in giudizio la Regione Lombardia, chiedendo che il ricorso sia dichiarato inammissibile o comunque rigettato.</w:t>
      </w:r>
    </w:p>
    <w:p w:rsidR="008C7F7C" w:rsidRPr="008C7F7C" w:rsidRDefault="008C7F7C" w:rsidP="008C7F7C">
      <w:pPr>
        <w:widowControl w:val="0"/>
        <w:autoSpaceDE w:val="0"/>
        <w:autoSpaceDN w:val="0"/>
        <w:adjustRightInd w:val="0"/>
        <w:jc w:val="both"/>
        <w:rPr>
          <w:rFonts w:ascii="Garamond" w:hAnsi="Garamond" w:cs="Garamond"/>
          <w:kern w:val="1"/>
        </w:rPr>
      </w:pPr>
      <w:r w:rsidRPr="008C7F7C">
        <w:rPr>
          <w:rFonts w:ascii="Garamond" w:hAnsi="Garamond" w:cs="Garamond"/>
          <w:kern w:val="1"/>
        </w:rPr>
        <w:t>Alla camera di consiglio del 20 marzo 2014 il ricorso è passato in decisione come da verbale di udienza.</w:t>
      </w:r>
    </w:p>
    <w:p w:rsidR="008C7F7C" w:rsidRPr="008C7F7C" w:rsidRDefault="008C7F7C" w:rsidP="008C7F7C">
      <w:pPr>
        <w:widowControl w:val="0"/>
        <w:autoSpaceDE w:val="0"/>
        <w:autoSpaceDN w:val="0"/>
        <w:adjustRightInd w:val="0"/>
        <w:jc w:val="center"/>
        <w:rPr>
          <w:rFonts w:ascii="Garamond" w:hAnsi="Garamond" w:cs="Garamond"/>
          <w:kern w:val="1"/>
        </w:rPr>
      </w:pPr>
      <w:r w:rsidRPr="008C7F7C">
        <w:rPr>
          <w:rFonts w:ascii="Garamond" w:hAnsi="Garamond" w:cs="Garamond"/>
          <w:kern w:val="1"/>
        </w:rPr>
        <w:t>DIRITTO</w:t>
      </w:r>
    </w:p>
    <w:p w:rsidR="008C7F7C" w:rsidRPr="008C7F7C" w:rsidRDefault="008C7F7C" w:rsidP="008C7F7C">
      <w:pPr>
        <w:widowControl w:val="0"/>
        <w:autoSpaceDE w:val="0"/>
        <w:autoSpaceDN w:val="0"/>
        <w:adjustRightInd w:val="0"/>
        <w:jc w:val="both"/>
        <w:rPr>
          <w:rFonts w:ascii="Garamond" w:hAnsi="Garamond" w:cs="Garamond"/>
          <w:kern w:val="1"/>
        </w:rPr>
      </w:pPr>
      <w:r w:rsidRPr="008C7F7C">
        <w:rPr>
          <w:rFonts w:ascii="Garamond" w:hAnsi="Garamond" w:cs="Garamond"/>
          <w:kern w:val="1"/>
        </w:rPr>
        <w:t>Il ricorso è infondato.</w:t>
      </w:r>
    </w:p>
    <w:p w:rsidR="008C7F7C" w:rsidRPr="008C7F7C" w:rsidRDefault="008C7F7C" w:rsidP="008C7F7C">
      <w:pPr>
        <w:widowControl w:val="0"/>
        <w:autoSpaceDE w:val="0"/>
        <w:autoSpaceDN w:val="0"/>
        <w:adjustRightInd w:val="0"/>
        <w:jc w:val="both"/>
        <w:rPr>
          <w:rFonts w:ascii="Garamond" w:hAnsi="Garamond" w:cs="Garamond"/>
          <w:kern w:val="1"/>
        </w:rPr>
      </w:pPr>
      <w:r w:rsidRPr="008C7F7C">
        <w:rPr>
          <w:rFonts w:ascii="Garamond" w:hAnsi="Garamond" w:cs="Garamond"/>
          <w:kern w:val="1"/>
        </w:rPr>
        <w:t>I motivi di appello, per la loro stretta correlazione, possono essere trattati congiuntamente.</w:t>
      </w:r>
    </w:p>
    <w:p w:rsidR="008C7F7C" w:rsidRPr="008C7F7C" w:rsidRDefault="008C7F7C" w:rsidP="008C7F7C">
      <w:pPr>
        <w:widowControl w:val="0"/>
        <w:autoSpaceDE w:val="0"/>
        <w:autoSpaceDN w:val="0"/>
        <w:adjustRightInd w:val="0"/>
        <w:jc w:val="both"/>
        <w:rPr>
          <w:rFonts w:ascii="Garamond" w:hAnsi="Garamond" w:cs="Garamond"/>
          <w:kern w:val="1"/>
        </w:rPr>
      </w:pPr>
      <w:r w:rsidRPr="008C7F7C">
        <w:rPr>
          <w:rFonts w:ascii="Garamond" w:hAnsi="Garamond" w:cs="Garamond"/>
          <w:kern w:val="1"/>
        </w:rPr>
        <w:t>Correttamente la decisione impugnata ha ritenuto che i provvedimenti impugnati non sono idonei ad arrecare un danno attuale alla salute pubblica.</w:t>
      </w:r>
    </w:p>
    <w:p w:rsidR="008C7F7C" w:rsidRPr="008C7F7C" w:rsidRDefault="008C7F7C" w:rsidP="008C7F7C">
      <w:pPr>
        <w:widowControl w:val="0"/>
        <w:autoSpaceDE w:val="0"/>
        <w:autoSpaceDN w:val="0"/>
        <w:adjustRightInd w:val="0"/>
        <w:jc w:val="both"/>
        <w:rPr>
          <w:rFonts w:ascii="Garamond" w:hAnsi="Garamond" w:cs="Garamond"/>
          <w:kern w:val="1"/>
        </w:rPr>
      </w:pPr>
      <w:r w:rsidRPr="008C7F7C">
        <w:rPr>
          <w:rFonts w:ascii="Garamond" w:hAnsi="Garamond" w:cs="Garamond"/>
          <w:kern w:val="1"/>
        </w:rPr>
        <w:t xml:space="preserve">La Fondazione IRCSS, infatti, pur nascendo da un processo di privatizzazione formale, continua ad </w:t>
      </w:r>
      <w:proofErr w:type="gramStart"/>
      <w:r w:rsidRPr="008C7F7C">
        <w:rPr>
          <w:rFonts w:ascii="Garamond" w:hAnsi="Garamond" w:cs="Garamond"/>
          <w:kern w:val="1"/>
        </w:rPr>
        <w:t>assolvere alle</w:t>
      </w:r>
      <w:proofErr w:type="gramEnd"/>
      <w:r w:rsidRPr="008C7F7C">
        <w:rPr>
          <w:rFonts w:ascii="Garamond" w:hAnsi="Garamond" w:cs="Garamond"/>
          <w:kern w:val="1"/>
        </w:rPr>
        <w:t xml:space="preserve"> medesime finalità perseguite prima della trasformazione. Sostengono, invece, gli odierni appellanti che il danno alla salute dei singoli derivi </w:t>
      </w:r>
      <w:proofErr w:type="gramStart"/>
      <w:r w:rsidRPr="008C7F7C">
        <w:rPr>
          <w:rFonts w:ascii="Garamond" w:hAnsi="Garamond" w:cs="Garamond"/>
          <w:kern w:val="1"/>
        </w:rPr>
        <w:t>dalla stessa privatizzazione atteso</w:t>
      </w:r>
      <w:proofErr w:type="gramEnd"/>
      <w:r w:rsidRPr="008C7F7C">
        <w:rPr>
          <w:rFonts w:ascii="Garamond" w:hAnsi="Garamond" w:cs="Garamond"/>
          <w:kern w:val="1"/>
        </w:rPr>
        <w:t xml:space="preserve"> che nonostante la perdurante natura pubblica dell’ente, il nuovo Statuto snaturerebbe o muterebbe le istanze pubblicistiche, comprimendo, conseguentemente, la tutela della sanità e della ricerca scientifica pubbliche.</w:t>
      </w:r>
    </w:p>
    <w:p w:rsidR="008C7F7C" w:rsidRPr="008C7F7C" w:rsidRDefault="008C7F7C" w:rsidP="008C7F7C">
      <w:pPr>
        <w:widowControl w:val="0"/>
        <w:autoSpaceDE w:val="0"/>
        <w:autoSpaceDN w:val="0"/>
        <w:adjustRightInd w:val="0"/>
        <w:jc w:val="both"/>
        <w:rPr>
          <w:rFonts w:ascii="Garamond" w:hAnsi="Garamond" w:cs="Garamond"/>
          <w:kern w:val="1"/>
        </w:rPr>
      </w:pPr>
      <w:r w:rsidRPr="008C7F7C">
        <w:rPr>
          <w:rFonts w:ascii="Garamond" w:hAnsi="Garamond" w:cs="Garamond"/>
          <w:kern w:val="1"/>
        </w:rPr>
        <w:t xml:space="preserve">In particolare, </w:t>
      </w:r>
      <w:proofErr w:type="gramStart"/>
      <w:r w:rsidRPr="008C7F7C">
        <w:rPr>
          <w:rFonts w:ascii="Garamond" w:hAnsi="Garamond" w:cs="Garamond"/>
          <w:kern w:val="1"/>
        </w:rPr>
        <w:t>viene</w:t>
      </w:r>
      <w:proofErr w:type="gramEnd"/>
      <w:r w:rsidRPr="008C7F7C">
        <w:rPr>
          <w:rFonts w:ascii="Garamond" w:hAnsi="Garamond" w:cs="Garamond"/>
          <w:kern w:val="1"/>
        </w:rPr>
        <w:t xml:space="preserve"> lamentato che la procedura di privatizzazione formale prescelta non risulterebbe neutrale, non potendosi più applicare le regole disposte per i c.d. enti pubblici veri e propri.</w:t>
      </w:r>
    </w:p>
    <w:p w:rsidR="008C7F7C" w:rsidRPr="008C7F7C" w:rsidRDefault="008C7F7C" w:rsidP="008C7F7C">
      <w:pPr>
        <w:widowControl w:val="0"/>
        <w:autoSpaceDE w:val="0"/>
        <w:autoSpaceDN w:val="0"/>
        <w:adjustRightInd w:val="0"/>
        <w:jc w:val="both"/>
        <w:rPr>
          <w:rFonts w:ascii="Garamond" w:hAnsi="Garamond" w:cs="Garamond"/>
          <w:kern w:val="1"/>
        </w:rPr>
      </w:pPr>
      <w:r w:rsidRPr="008C7F7C">
        <w:rPr>
          <w:rFonts w:ascii="Garamond" w:hAnsi="Garamond" w:cs="Garamond"/>
          <w:kern w:val="1"/>
        </w:rPr>
        <w:t xml:space="preserve">Inoltre si paventa che la nuova organizzazione della Fondazione preluderebbe </w:t>
      </w:r>
      <w:proofErr w:type="gramStart"/>
      <w:r w:rsidRPr="008C7F7C">
        <w:rPr>
          <w:rFonts w:ascii="Garamond" w:hAnsi="Garamond" w:cs="Garamond"/>
          <w:kern w:val="1"/>
        </w:rPr>
        <w:t>ad</w:t>
      </w:r>
      <w:proofErr w:type="gramEnd"/>
      <w:r w:rsidRPr="008C7F7C">
        <w:rPr>
          <w:rFonts w:ascii="Garamond" w:hAnsi="Garamond" w:cs="Garamond"/>
          <w:kern w:val="1"/>
        </w:rPr>
        <w:t xml:space="preserve"> un trasferimento futuro ad enti in tutto e per tutto privati, con conseguente danno per l’interesse pubblico.</w:t>
      </w:r>
    </w:p>
    <w:p w:rsidR="008C7F7C" w:rsidRPr="008C7F7C" w:rsidRDefault="008C7F7C" w:rsidP="008C7F7C">
      <w:pPr>
        <w:widowControl w:val="0"/>
        <w:autoSpaceDE w:val="0"/>
        <w:autoSpaceDN w:val="0"/>
        <w:adjustRightInd w:val="0"/>
        <w:jc w:val="both"/>
        <w:rPr>
          <w:rFonts w:ascii="Garamond" w:hAnsi="Garamond" w:cs="Garamond"/>
          <w:kern w:val="1"/>
        </w:rPr>
      </w:pPr>
      <w:r w:rsidRPr="008C7F7C">
        <w:rPr>
          <w:rFonts w:ascii="Garamond" w:hAnsi="Garamond" w:cs="Garamond"/>
          <w:kern w:val="1"/>
        </w:rPr>
        <w:t>Ai fini del decidere va valutato l’interesse al ricorso degli odierni appellanti.</w:t>
      </w:r>
    </w:p>
    <w:p w:rsidR="008C7F7C" w:rsidRPr="008C7F7C" w:rsidRDefault="008C7F7C" w:rsidP="008C7F7C">
      <w:pPr>
        <w:widowControl w:val="0"/>
        <w:autoSpaceDE w:val="0"/>
        <w:autoSpaceDN w:val="0"/>
        <w:adjustRightInd w:val="0"/>
        <w:jc w:val="both"/>
        <w:rPr>
          <w:rFonts w:ascii="Garamond" w:hAnsi="Garamond" w:cs="Garamond"/>
          <w:kern w:val="1"/>
        </w:rPr>
      </w:pPr>
      <w:r w:rsidRPr="008C7F7C">
        <w:rPr>
          <w:rFonts w:ascii="Garamond" w:hAnsi="Garamond" w:cs="Garamond"/>
          <w:kern w:val="1"/>
        </w:rPr>
        <w:t xml:space="preserve">Ritiene il Collegio che la decisione assunta in primo grado, con riguardo alla </w:t>
      </w:r>
      <w:proofErr w:type="gramStart"/>
      <w:r w:rsidRPr="008C7F7C">
        <w:rPr>
          <w:rFonts w:ascii="Garamond" w:hAnsi="Garamond" w:cs="Garamond"/>
          <w:kern w:val="1"/>
        </w:rPr>
        <w:t>carenza</w:t>
      </w:r>
      <w:proofErr w:type="gramEnd"/>
      <w:r w:rsidRPr="008C7F7C">
        <w:rPr>
          <w:rFonts w:ascii="Garamond" w:hAnsi="Garamond" w:cs="Garamond"/>
          <w:kern w:val="1"/>
        </w:rPr>
        <w:t xml:space="preserve"> di interesse al ricorso delle associazioni Medicina Democratica Movimento di Lotta per la Salute </w:t>
      </w:r>
      <w:proofErr w:type="spellStart"/>
      <w:r w:rsidRPr="008C7F7C">
        <w:rPr>
          <w:rFonts w:ascii="Garamond" w:hAnsi="Garamond" w:cs="Garamond"/>
          <w:kern w:val="1"/>
        </w:rPr>
        <w:t>Soc</w:t>
      </w:r>
      <w:proofErr w:type="spellEnd"/>
      <w:r w:rsidRPr="008C7F7C">
        <w:rPr>
          <w:rFonts w:ascii="Garamond" w:hAnsi="Garamond" w:cs="Garamond"/>
          <w:kern w:val="1"/>
        </w:rPr>
        <w:t xml:space="preserve">. coop. S. </w:t>
      </w:r>
      <w:proofErr w:type="spellStart"/>
      <w:proofErr w:type="gramStart"/>
      <w:r w:rsidRPr="008C7F7C">
        <w:rPr>
          <w:rFonts w:ascii="Garamond" w:hAnsi="Garamond" w:cs="Garamond"/>
          <w:kern w:val="1"/>
        </w:rPr>
        <w:t>r.l</w:t>
      </w:r>
      <w:proofErr w:type="spellEnd"/>
      <w:r w:rsidRPr="008C7F7C">
        <w:rPr>
          <w:rFonts w:ascii="Garamond" w:hAnsi="Garamond" w:cs="Garamond"/>
          <w:kern w:val="1"/>
        </w:rPr>
        <w:t>.</w:t>
      </w:r>
      <w:proofErr w:type="gramEnd"/>
      <w:r w:rsidRPr="008C7F7C">
        <w:rPr>
          <w:rFonts w:ascii="Garamond" w:hAnsi="Garamond" w:cs="Garamond"/>
          <w:kern w:val="1"/>
        </w:rPr>
        <w:t xml:space="preserve"> e Medicina Democratica di Lotta per la Salute </w:t>
      </w:r>
      <w:proofErr w:type="spellStart"/>
      <w:r w:rsidRPr="008C7F7C">
        <w:rPr>
          <w:rFonts w:ascii="Garamond" w:hAnsi="Garamond" w:cs="Garamond"/>
          <w:kern w:val="1"/>
        </w:rPr>
        <w:t>Onlus</w:t>
      </w:r>
      <w:proofErr w:type="spellEnd"/>
      <w:r w:rsidRPr="008C7F7C">
        <w:rPr>
          <w:rFonts w:ascii="Garamond" w:hAnsi="Garamond" w:cs="Garamond"/>
          <w:kern w:val="1"/>
        </w:rPr>
        <w:t xml:space="preserve"> ,sia corretta.</w:t>
      </w:r>
    </w:p>
    <w:p w:rsidR="008C7F7C" w:rsidRPr="008C7F7C" w:rsidRDefault="008C7F7C" w:rsidP="008C7F7C">
      <w:pPr>
        <w:widowControl w:val="0"/>
        <w:autoSpaceDE w:val="0"/>
        <w:autoSpaceDN w:val="0"/>
        <w:adjustRightInd w:val="0"/>
        <w:jc w:val="both"/>
        <w:rPr>
          <w:rFonts w:ascii="Garamond" w:hAnsi="Garamond" w:cs="Garamond"/>
          <w:kern w:val="1"/>
        </w:rPr>
      </w:pPr>
      <w:r w:rsidRPr="008C7F7C">
        <w:rPr>
          <w:rFonts w:ascii="Garamond" w:hAnsi="Garamond" w:cs="Garamond"/>
          <w:kern w:val="1"/>
        </w:rPr>
        <w:t xml:space="preserve">Le suddette associazioni non hanno interesse al ricorso, anche se alle stesse può essere sicuramente riconosciuta in astratto legittimazione attiva. A tali associazioni va attribuita </w:t>
      </w:r>
      <w:proofErr w:type="gramStart"/>
      <w:r w:rsidRPr="008C7F7C">
        <w:rPr>
          <w:rFonts w:ascii="Garamond" w:hAnsi="Garamond" w:cs="Garamond"/>
          <w:kern w:val="1"/>
        </w:rPr>
        <w:t xml:space="preserve">una </w:t>
      </w:r>
      <w:proofErr w:type="gramEnd"/>
      <w:r w:rsidRPr="008C7F7C">
        <w:rPr>
          <w:rFonts w:ascii="Garamond" w:hAnsi="Garamond" w:cs="Garamond"/>
          <w:kern w:val="1"/>
        </w:rPr>
        <w:t>effettiva rappresentatività rispetto agli interessi di cui si fanno portatrici, poiché quest’ultima va affermata in virtù di un dato non meramente formale, ma sostanziale, sulla base di indici quali le finalità istituzionali dell’ente, l’esistenza di una struttura organizzativa stabile, la presenza sul territorio (</w:t>
      </w:r>
      <w:proofErr w:type="spellStart"/>
      <w:r w:rsidRPr="008C7F7C">
        <w:rPr>
          <w:rFonts w:ascii="Garamond" w:hAnsi="Garamond" w:cs="Garamond"/>
          <w:kern w:val="1"/>
        </w:rPr>
        <w:t>Cons</w:t>
      </w:r>
      <w:proofErr w:type="spellEnd"/>
      <w:r w:rsidRPr="008C7F7C">
        <w:rPr>
          <w:rFonts w:ascii="Garamond" w:hAnsi="Garamond" w:cs="Garamond"/>
          <w:kern w:val="1"/>
        </w:rPr>
        <w:t>. St., sez. IV, 16 novembre 2011, n. 6050</w:t>
      </w:r>
      <w:proofErr w:type="gramStart"/>
      <w:r w:rsidRPr="008C7F7C">
        <w:rPr>
          <w:rFonts w:ascii="Garamond" w:hAnsi="Garamond" w:cs="Garamond"/>
          <w:kern w:val="1"/>
        </w:rPr>
        <w:t>).</w:t>
      </w:r>
      <w:proofErr w:type="gramEnd"/>
    </w:p>
    <w:p w:rsidR="008C7F7C" w:rsidRPr="008C7F7C" w:rsidRDefault="008C7F7C" w:rsidP="008C7F7C">
      <w:pPr>
        <w:widowControl w:val="0"/>
        <w:autoSpaceDE w:val="0"/>
        <w:autoSpaceDN w:val="0"/>
        <w:adjustRightInd w:val="0"/>
        <w:jc w:val="both"/>
        <w:rPr>
          <w:rFonts w:ascii="Garamond" w:hAnsi="Garamond" w:cs="Garamond"/>
          <w:kern w:val="1"/>
        </w:rPr>
      </w:pPr>
      <w:r w:rsidRPr="008C7F7C">
        <w:rPr>
          <w:rFonts w:ascii="Garamond" w:hAnsi="Garamond" w:cs="Garamond"/>
          <w:kern w:val="1"/>
        </w:rPr>
        <w:t xml:space="preserve">La sentenza di primo grado ha tuttavia precisato che la legittimazione attiva non può essere esercitata per perseguire in via generale il corretto esercizio del potere amministrativo, né per finalità di giustizia, essendo, invece, necessario individuare in siffatti casi una lesione </w:t>
      </w:r>
      <w:proofErr w:type="gramStart"/>
      <w:r w:rsidRPr="008C7F7C">
        <w:rPr>
          <w:rFonts w:ascii="Garamond" w:hAnsi="Garamond" w:cs="Garamond"/>
          <w:kern w:val="1"/>
        </w:rPr>
        <w:t xml:space="preserve">di </w:t>
      </w:r>
      <w:proofErr w:type="gramEnd"/>
      <w:r w:rsidRPr="008C7F7C">
        <w:rPr>
          <w:rFonts w:ascii="Garamond" w:hAnsi="Garamond" w:cs="Garamond"/>
          <w:kern w:val="1"/>
        </w:rPr>
        <w:t>interessi legittimi delle associazioni stesse o una lesione diretta e attuale di interessi diffusi delle persone protette dalle associazioni. Inoltre, va comunque verificata l’esistenza di un interesse al ricorso e, pertanto, dalla caducazione del provvedimento impugnato deve derivare un vantaggio o almeno l’</w:t>
      </w:r>
      <w:proofErr w:type="gramStart"/>
      <w:r w:rsidRPr="008C7F7C">
        <w:rPr>
          <w:rFonts w:ascii="Garamond" w:hAnsi="Garamond" w:cs="Garamond"/>
          <w:kern w:val="1"/>
        </w:rPr>
        <w:t>aspettativa</w:t>
      </w:r>
      <w:proofErr w:type="gramEnd"/>
      <w:r w:rsidRPr="008C7F7C">
        <w:rPr>
          <w:rFonts w:ascii="Garamond" w:hAnsi="Garamond" w:cs="Garamond"/>
          <w:kern w:val="1"/>
        </w:rPr>
        <w:t xml:space="preserve"> di un vantaggio attuale e diretto.</w:t>
      </w:r>
    </w:p>
    <w:p w:rsidR="008C7F7C" w:rsidRPr="008C7F7C" w:rsidRDefault="008C7F7C" w:rsidP="008C7F7C">
      <w:pPr>
        <w:widowControl w:val="0"/>
        <w:autoSpaceDE w:val="0"/>
        <w:autoSpaceDN w:val="0"/>
        <w:adjustRightInd w:val="0"/>
        <w:jc w:val="both"/>
        <w:rPr>
          <w:rFonts w:ascii="Garamond" w:hAnsi="Garamond" w:cs="Garamond"/>
          <w:kern w:val="1"/>
        </w:rPr>
      </w:pPr>
      <w:r w:rsidRPr="008C7F7C">
        <w:rPr>
          <w:rFonts w:ascii="Garamond" w:hAnsi="Garamond" w:cs="Garamond"/>
          <w:kern w:val="1"/>
        </w:rPr>
        <w:t xml:space="preserve">Va rammentato che ai fini dell’ammissibilità del ricorso devono essere presenti tutte e tre le condizioni dell’azione. Esse sono la possibilità giuridica o c.d. titolo, ossia l’esistenza di una situazione giuridica soggettiva qualificata in astratto da una norma; l’interesse ad agire o interesse al ricorso, ossia l’utilità giuridica derivante dal ricorso tenuto conto della concretezza e attualità del danno alla posizione giuridica che si dichiara lesa; la legittimazione ad agire, </w:t>
      </w:r>
      <w:proofErr w:type="spellStart"/>
      <w:r w:rsidRPr="008C7F7C">
        <w:rPr>
          <w:rFonts w:ascii="Garamond" w:hAnsi="Garamond" w:cs="Garamond"/>
          <w:kern w:val="1"/>
        </w:rPr>
        <w:t>legitimatio</w:t>
      </w:r>
      <w:proofErr w:type="spellEnd"/>
      <w:r w:rsidRPr="008C7F7C">
        <w:rPr>
          <w:rFonts w:ascii="Garamond" w:hAnsi="Garamond" w:cs="Garamond"/>
          <w:kern w:val="1"/>
        </w:rPr>
        <w:t xml:space="preserve"> ad </w:t>
      </w:r>
      <w:proofErr w:type="spellStart"/>
      <w:r w:rsidRPr="008C7F7C">
        <w:rPr>
          <w:rFonts w:ascii="Garamond" w:hAnsi="Garamond" w:cs="Garamond"/>
          <w:kern w:val="1"/>
        </w:rPr>
        <w:t>causam</w:t>
      </w:r>
      <w:proofErr w:type="spellEnd"/>
      <w:r w:rsidRPr="008C7F7C">
        <w:rPr>
          <w:rFonts w:ascii="Garamond" w:hAnsi="Garamond" w:cs="Garamond"/>
          <w:kern w:val="1"/>
        </w:rPr>
        <w:t xml:space="preserve"> o legittimazione attiva/passiva, ossia l’affermazione della titolarità effettiva del rapporto controverso in capo a chi pone la domanda e in capo a colui contro </w:t>
      </w:r>
      <w:proofErr w:type="gramStart"/>
      <w:r w:rsidRPr="008C7F7C">
        <w:rPr>
          <w:rFonts w:ascii="Garamond" w:hAnsi="Garamond" w:cs="Garamond"/>
          <w:kern w:val="1"/>
        </w:rPr>
        <w:t>cui</w:t>
      </w:r>
      <w:proofErr w:type="gramEnd"/>
      <w:r w:rsidRPr="008C7F7C">
        <w:rPr>
          <w:rFonts w:ascii="Garamond" w:hAnsi="Garamond" w:cs="Garamond"/>
          <w:kern w:val="1"/>
        </w:rPr>
        <w:t xml:space="preserve"> è proposta.</w:t>
      </w:r>
    </w:p>
    <w:p w:rsidR="008C7F7C" w:rsidRPr="008C7F7C" w:rsidRDefault="008C7F7C" w:rsidP="008C7F7C">
      <w:pPr>
        <w:widowControl w:val="0"/>
        <w:autoSpaceDE w:val="0"/>
        <w:autoSpaceDN w:val="0"/>
        <w:adjustRightInd w:val="0"/>
        <w:jc w:val="both"/>
        <w:rPr>
          <w:rFonts w:ascii="Garamond" w:hAnsi="Garamond" w:cs="Garamond"/>
          <w:kern w:val="1"/>
        </w:rPr>
      </w:pPr>
      <w:r w:rsidRPr="008C7F7C">
        <w:rPr>
          <w:rFonts w:ascii="Garamond" w:hAnsi="Garamond" w:cs="Garamond"/>
          <w:kern w:val="1"/>
        </w:rPr>
        <w:t>Come ben è stato richiamato dall’Adunanza Plenaria nella sentenza n. 9 del 2014:</w:t>
      </w:r>
    </w:p>
    <w:p w:rsidR="008C7F7C" w:rsidRPr="008C7F7C" w:rsidRDefault="008C7F7C" w:rsidP="008C7F7C">
      <w:pPr>
        <w:widowControl w:val="0"/>
        <w:autoSpaceDE w:val="0"/>
        <w:autoSpaceDN w:val="0"/>
        <w:adjustRightInd w:val="0"/>
        <w:jc w:val="both"/>
        <w:rPr>
          <w:rFonts w:ascii="Garamond" w:hAnsi="Garamond" w:cs="Garamond"/>
          <w:kern w:val="1"/>
        </w:rPr>
      </w:pPr>
      <w:r w:rsidRPr="008C7F7C">
        <w:rPr>
          <w:rFonts w:ascii="Garamond" w:hAnsi="Garamond" w:cs="Garamond"/>
          <w:kern w:val="1"/>
        </w:rPr>
        <w:t xml:space="preserve">“…l’azione di annullamento davanti al giudice amministrativo è soggetta – sulla falsariga del processo civile – a tre condizioni fondamentali che, valutate in astratto con riferimento alla causa </w:t>
      </w:r>
      <w:proofErr w:type="spellStart"/>
      <w:r w:rsidRPr="008C7F7C">
        <w:rPr>
          <w:rFonts w:ascii="Garamond" w:hAnsi="Garamond" w:cs="Garamond"/>
          <w:kern w:val="1"/>
        </w:rPr>
        <w:t>petendi</w:t>
      </w:r>
      <w:proofErr w:type="spellEnd"/>
      <w:r w:rsidRPr="008C7F7C">
        <w:rPr>
          <w:rFonts w:ascii="Garamond" w:hAnsi="Garamond" w:cs="Garamond"/>
          <w:kern w:val="1"/>
        </w:rPr>
        <w:t> della domanda e non </w:t>
      </w:r>
      <w:proofErr w:type="spellStart"/>
      <w:r w:rsidRPr="008C7F7C">
        <w:rPr>
          <w:rFonts w:ascii="Garamond" w:hAnsi="Garamond" w:cs="Garamond"/>
          <w:kern w:val="1"/>
        </w:rPr>
        <w:t>secundum</w:t>
      </w:r>
      <w:proofErr w:type="spellEnd"/>
      <w:r w:rsidRPr="008C7F7C">
        <w:rPr>
          <w:rFonts w:ascii="Garamond" w:hAnsi="Garamond" w:cs="Garamond"/>
          <w:kern w:val="1"/>
        </w:rPr>
        <w:t xml:space="preserve"> </w:t>
      </w:r>
      <w:proofErr w:type="spellStart"/>
      <w:r w:rsidRPr="008C7F7C">
        <w:rPr>
          <w:rFonts w:ascii="Garamond" w:hAnsi="Garamond" w:cs="Garamond"/>
          <w:kern w:val="1"/>
        </w:rPr>
        <w:t>eventum</w:t>
      </w:r>
      <w:proofErr w:type="spellEnd"/>
      <w:r w:rsidRPr="008C7F7C">
        <w:rPr>
          <w:rFonts w:ascii="Garamond" w:hAnsi="Garamond" w:cs="Garamond"/>
          <w:kern w:val="1"/>
        </w:rPr>
        <w:t xml:space="preserve"> </w:t>
      </w:r>
      <w:proofErr w:type="spellStart"/>
      <w:r w:rsidRPr="008C7F7C">
        <w:rPr>
          <w:rFonts w:ascii="Garamond" w:hAnsi="Garamond" w:cs="Garamond"/>
          <w:kern w:val="1"/>
        </w:rPr>
        <w:t>litis</w:t>
      </w:r>
      <w:proofErr w:type="spellEnd"/>
      <w:r w:rsidRPr="008C7F7C">
        <w:rPr>
          <w:rFonts w:ascii="Garamond" w:hAnsi="Garamond" w:cs="Garamond"/>
          <w:kern w:val="1"/>
        </w:rPr>
        <w:t xml:space="preserve">, devono sussistere al momento della proposizione della domanda e permanere fino al momento della decisione; tali condizioni sono: I) il c.d. titolo o possibilità giuridica dell’azione - cioè la situazione giuridica soggettiva qualificata in astratto da una norma, </w:t>
      </w:r>
      <w:proofErr w:type="gramStart"/>
      <w:r w:rsidRPr="008C7F7C">
        <w:rPr>
          <w:rFonts w:ascii="Garamond" w:hAnsi="Garamond" w:cs="Garamond"/>
          <w:kern w:val="1"/>
        </w:rPr>
        <w:t>ovvero</w:t>
      </w:r>
      <w:proofErr w:type="gramEnd"/>
      <w:r w:rsidRPr="008C7F7C">
        <w:rPr>
          <w:rFonts w:ascii="Garamond" w:hAnsi="Garamond" w:cs="Garamond"/>
          <w:kern w:val="1"/>
        </w:rPr>
        <w:t xml:space="preserve">, come altri dice, la legittimazione a ricorrere discendente dalla speciale posizione qualificata del soggetto che lo distingue dal </w:t>
      </w:r>
      <w:proofErr w:type="spellStart"/>
      <w:r w:rsidRPr="008C7F7C">
        <w:rPr>
          <w:rFonts w:ascii="Garamond" w:hAnsi="Garamond" w:cs="Garamond"/>
          <w:kern w:val="1"/>
        </w:rPr>
        <w:t>quisque</w:t>
      </w:r>
      <w:proofErr w:type="spellEnd"/>
      <w:r w:rsidRPr="008C7F7C">
        <w:rPr>
          <w:rFonts w:ascii="Garamond" w:hAnsi="Garamond" w:cs="Garamond"/>
          <w:kern w:val="1"/>
        </w:rPr>
        <w:t xml:space="preserve"> de </w:t>
      </w:r>
      <w:proofErr w:type="spellStart"/>
      <w:r w:rsidRPr="008C7F7C">
        <w:rPr>
          <w:rFonts w:ascii="Garamond" w:hAnsi="Garamond" w:cs="Garamond"/>
          <w:kern w:val="1"/>
        </w:rPr>
        <w:t>populo</w:t>
      </w:r>
      <w:proofErr w:type="spellEnd"/>
      <w:r w:rsidRPr="008C7F7C">
        <w:rPr>
          <w:rFonts w:ascii="Garamond" w:hAnsi="Garamond" w:cs="Garamond"/>
          <w:kern w:val="1"/>
        </w:rPr>
        <w:t xml:space="preserve"> rispetto all’esercizio del potere amministrativo -; II) l’interesse ad agire ex art. 100 </w:t>
      </w:r>
      <w:proofErr w:type="spellStart"/>
      <w:r w:rsidRPr="008C7F7C">
        <w:rPr>
          <w:rFonts w:ascii="Garamond" w:hAnsi="Garamond" w:cs="Garamond"/>
          <w:kern w:val="1"/>
        </w:rPr>
        <w:t>c.p.c.</w:t>
      </w:r>
      <w:proofErr w:type="spellEnd"/>
      <w:r w:rsidRPr="008C7F7C">
        <w:rPr>
          <w:rFonts w:ascii="Garamond" w:hAnsi="Garamond" w:cs="Garamond"/>
          <w:kern w:val="1"/>
        </w:rPr>
        <w:t xml:space="preserve"> (o interesse al ricorso, nel linguaggio corrente del processo amministrativo); III) la </w:t>
      </w:r>
      <w:proofErr w:type="spellStart"/>
      <w:r w:rsidRPr="008C7F7C">
        <w:rPr>
          <w:rFonts w:ascii="Garamond" w:hAnsi="Garamond" w:cs="Garamond"/>
          <w:kern w:val="1"/>
        </w:rPr>
        <w:t>legitimatio</w:t>
      </w:r>
      <w:proofErr w:type="spellEnd"/>
      <w:r w:rsidRPr="008C7F7C">
        <w:rPr>
          <w:rFonts w:ascii="Garamond" w:hAnsi="Garamond" w:cs="Garamond"/>
          <w:kern w:val="1"/>
        </w:rPr>
        <w:t xml:space="preserve"> ad </w:t>
      </w:r>
      <w:proofErr w:type="spellStart"/>
      <w:r w:rsidRPr="008C7F7C">
        <w:rPr>
          <w:rFonts w:ascii="Garamond" w:hAnsi="Garamond" w:cs="Garamond"/>
          <w:kern w:val="1"/>
        </w:rPr>
        <w:t>causam</w:t>
      </w:r>
      <w:proofErr w:type="spellEnd"/>
      <w:r w:rsidRPr="008C7F7C">
        <w:rPr>
          <w:rFonts w:ascii="Garamond" w:hAnsi="Garamond" w:cs="Garamond"/>
          <w:kern w:val="1"/>
        </w:rPr>
        <w:t xml:space="preserve"> (o legittimazione attiva/passiva, discendente dall’affermazione di </w:t>
      </w:r>
      <w:proofErr w:type="gramStart"/>
      <w:r w:rsidRPr="008C7F7C">
        <w:rPr>
          <w:rFonts w:ascii="Garamond" w:hAnsi="Garamond" w:cs="Garamond"/>
          <w:kern w:val="1"/>
        </w:rPr>
        <w:t>colui che</w:t>
      </w:r>
      <w:proofErr w:type="gramEnd"/>
      <w:r w:rsidRPr="008C7F7C">
        <w:rPr>
          <w:rFonts w:ascii="Garamond" w:hAnsi="Garamond" w:cs="Garamond"/>
          <w:kern w:val="1"/>
        </w:rPr>
        <w:t xml:space="preserve"> agisce/resiste in giudizio di essere titolare del rapporto controverso dal lato attivo o passivo)....”;</w:t>
      </w:r>
    </w:p>
    <w:p w:rsidR="008C7F7C" w:rsidRPr="008C7F7C" w:rsidRDefault="008C7F7C" w:rsidP="008C7F7C">
      <w:pPr>
        <w:widowControl w:val="0"/>
        <w:autoSpaceDE w:val="0"/>
        <w:autoSpaceDN w:val="0"/>
        <w:adjustRightInd w:val="0"/>
        <w:jc w:val="both"/>
        <w:rPr>
          <w:rFonts w:ascii="Garamond" w:hAnsi="Garamond" w:cs="Garamond"/>
          <w:kern w:val="1"/>
        </w:rPr>
      </w:pPr>
      <w:r w:rsidRPr="008C7F7C">
        <w:rPr>
          <w:rFonts w:ascii="Garamond" w:hAnsi="Garamond" w:cs="Garamond"/>
          <w:kern w:val="1"/>
        </w:rPr>
        <w:t>“…l’interesse ad agire è scolpito nella sua tradizionale definizione di “bisogno di tutela giurisdizionale”, nel senso che il ricorso al giudice deve presentarsi come indispensabile per porre rimedio allo stato di fatto lesivo; è, dunque, espressione di economia processuale, manifestando l’esigenza che il ricorso alla giustizia rappresenti l’</w:t>
      </w:r>
      <w:proofErr w:type="spellStart"/>
      <w:r w:rsidRPr="008C7F7C">
        <w:rPr>
          <w:rFonts w:ascii="Garamond" w:hAnsi="Garamond" w:cs="Garamond"/>
          <w:kern w:val="1"/>
        </w:rPr>
        <w:t>extrema</w:t>
      </w:r>
      <w:proofErr w:type="spellEnd"/>
      <w:r w:rsidRPr="008C7F7C">
        <w:rPr>
          <w:rFonts w:ascii="Garamond" w:hAnsi="Garamond" w:cs="Garamond"/>
          <w:kern w:val="1"/>
        </w:rPr>
        <w:t xml:space="preserve"> ratio; da qui, i suoi caratteri essenziali costituiti dalla concretezza </w:t>
      </w:r>
      <w:proofErr w:type="gramStart"/>
      <w:r w:rsidRPr="008C7F7C">
        <w:rPr>
          <w:rFonts w:ascii="Garamond" w:hAnsi="Garamond" w:cs="Garamond"/>
          <w:kern w:val="1"/>
        </w:rPr>
        <w:t>ed</w:t>
      </w:r>
      <w:proofErr w:type="gramEnd"/>
      <w:r w:rsidRPr="008C7F7C">
        <w:rPr>
          <w:rFonts w:ascii="Garamond" w:hAnsi="Garamond" w:cs="Garamond"/>
          <w:kern w:val="1"/>
        </w:rPr>
        <w:t xml:space="preserve"> attualità del danno (anche in termini di probabilità) alla posizione soggettiva di cui si invoca tutela; esso resta logicamente escluso quando sia strumentale alla definizione di questioni correlate a situazioni future e incerte perché meramente ipotetiche…”;</w:t>
      </w:r>
    </w:p>
    <w:p w:rsidR="008C7F7C" w:rsidRPr="008C7F7C" w:rsidRDefault="008C7F7C" w:rsidP="008C7F7C">
      <w:pPr>
        <w:widowControl w:val="0"/>
        <w:autoSpaceDE w:val="0"/>
        <w:autoSpaceDN w:val="0"/>
        <w:adjustRightInd w:val="0"/>
        <w:jc w:val="both"/>
        <w:rPr>
          <w:rFonts w:ascii="Garamond" w:hAnsi="Garamond" w:cs="Garamond"/>
          <w:kern w:val="1"/>
        </w:rPr>
      </w:pPr>
      <w:r w:rsidRPr="008C7F7C">
        <w:rPr>
          <w:rFonts w:ascii="Garamond" w:hAnsi="Garamond" w:cs="Garamond"/>
          <w:kern w:val="1"/>
        </w:rPr>
        <w:t>“…tali condizioni (</w:t>
      </w:r>
      <w:proofErr w:type="gramStart"/>
      <w:r w:rsidRPr="008C7F7C">
        <w:rPr>
          <w:rFonts w:ascii="Garamond" w:hAnsi="Garamond" w:cs="Garamond"/>
          <w:kern w:val="1"/>
        </w:rPr>
        <w:t>ed</w:t>
      </w:r>
      <w:proofErr w:type="gramEnd"/>
      <w:r w:rsidRPr="008C7F7C">
        <w:rPr>
          <w:rFonts w:ascii="Garamond" w:hAnsi="Garamond" w:cs="Garamond"/>
          <w:kern w:val="1"/>
        </w:rPr>
        <w:t xml:space="preserve"> in particolare il c.d. titolo e l’interesse ad agire), assolvono una funzione di filtro in chiave deflattiva delle domande proposte al giudice, fino ad assumere l’aspetto di un controllo di </w:t>
      </w:r>
      <w:proofErr w:type="spellStart"/>
      <w:r w:rsidRPr="008C7F7C">
        <w:rPr>
          <w:rFonts w:ascii="Garamond" w:hAnsi="Garamond" w:cs="Garamond"/>
          <w:kern w:val="1"/>
        </w:rPr>
        <w:t>meritevolezza</w:t>
      </w:r>
      <w:proofErr w:type="spellEnd"/>
      <w:r w:rsidRPr="008C7F7C">
        <w:rPr>
          <w:rFonts w:ascii="Garamond" w:hAnsi="Garamond" w:cs="Garamond"/>
          <w:kern w:val="1"/>
        </w:rPr>
        <w:t xml:space="preserve"> dell’interesse sostanziale in gioco, alla luce dei valori costituzionali ed internazionali rilevanti, veicolati dalle clausole generali fondamentali sancite dagli artt. 24 e 111 </w:t>
      </w:r>
      <w:proofErr w:type="spellStart"/>
      <w:r w:rsidRPr="008C7F7C">
        <w:rPr>
          <w:rFonts w:ascii="Garamond" w:hAnsi="Garamond" w:cs="Garamond"/>
          <w:kern w:val="1"/>
        </w:rPr>
        <w:t>Cost</w:t>
      </w:r>
      <w:proofErr w:type="spellEnd"/>
      <w:r w:rsidRPr="008C7F7C">
        <w:rPr>
          <w:rFonts w:ascii="Garamond" w:hAnsi="Garamond" w:cs="Garamond"/>
          <w:kern w:val="1"/>
        </w:rPr>
        <w:t xml:space="preserve">.; tale scrutinio di </w:t>
      </w:r>
      <w:proofErr w:type="spellStart"/>
      <w:r w:rsidRPr="008C7F7C">
        <w:rPr>
          <w:rFonts w:ascii="Garamond" w:hAnsi="Garamond" w:cs="Garamond"/>
          <w:kern w:val="1"/>
        </w:rPr>
        <w:t>meritevolezza</w:t>
      </w:r>
      <w:proofErr w:type="spellEnd"/>
      <w:r w:rsidRPr="008C7F7C">
        <w:rPr>
          <w:rFonts w:ascii="Garamond" w:hAnsi="Garamond" w:cs="Garamond"/>
          <w:kern w:val="1"/>
        </w:rPr>
        <w:t>, costituisce, in quest’ottica, espressione del più ampio divieto di abuso del processo, inteso come esercizio dell’azione in forme eccedenti o devianti, rispetto alla tutela attribuita dall’ordinamento, lesivo del principio del giusto processo…”.</w:t>
      </w:r>
    </w:p>
    <w:p w:rsidR="008C7F7C" w:rsidRPr="008C7F7C" w:rsidRDefault="008C7F7C" w:rsidP="008C7F7C">
      <w:pPr>
        <w:widowControl w:val="0"/>
        <w:autoSpaceDE w:val="0"/>
        <w:autoSpaceDN w:val="0"/>
        <w:adjustRightInd w:val="0"/>
        <w:jc w:val="both"/>
        <w:rPr>
          <w:rFonts w:ascii="Garamond" w:hAnsi="Garamond" w:cs="Garamond"/>
          <w:kern w:val="1"/>
        </w:rPr>
      </w:pPr>
      <w:r w:rsidRPr="008C7F7C">
        <w:rPr>
          <w:rFonts w:ascii="Garamond" w:hAnsi="Garamond" w:cs="Garamond"/>
          <w:kern w:val="1"/>
        </w:rPr>
        <w:t xml:space="preserve">Nell’ambito dell’operazione di privatizzazione svolta, </w:t>
      </w:r>
      <w:bookmarkStart w:id="0" w:name="_GoBack"/>
      <w:r w:rsidRPr="008C7F7C">
        <w:rPr>
          <w:rFonts w:ascii="Garamond" w:hAnsi="Garamond" w:cs="Garamond"/>
          <w:kern w:val="1"/>
        </w:rPr>
        <w:t xml:space="preserve">la trasformazione dell’Istituto in Fondazione non ha inciso a livello qualitativo sulle caratteristiche dell’ente. </w:t>
      </w:r>
      <w:bookmarkEnd w:id="0"/>
      <w:r w:rsidRPr="008C7F7C">
        <w:rPr>
          <w:rFonts w:ascii="Garamond" w:hAnsi="Garamond" w:cs="Garamond"/>
          <w:kern w:val="1"/>
        </w:rPr>
        <w:t xml:space="preserve">Quest’ultimo continua a perseguire pressoché identiche finalità rispetto alle precedenti, attraverso un’attività oggi parzialmente disciplinata dal diritto privato. Non può pertanto desumersi dall’operazione intrapresa, in sé e per sé, alcuna potenzialità lesiva rispetto agli interessi protetti dalle appellanti. Né nella stessa operazione descritta è possibile individuare un’intenzione di totale privatizzazione dell’ente che possa eventualmente compromettere la tutela di beni </w:t>
      </w:r>
      <w:proofErr w:type="gramStart"/>
      <w:r w:rsidRPr="008C7F7C">
        <w:rPr>
          <w:rFonts w:ascii="Garamond" w:hAnsi="Garamond" w:cs="Garamond"/>
          <w:kern w:val="1"/>
        </w:rPr>
        <w:t xml:space="preserve">di </w:t>
      </w:r>
      <w:proofErr w:type="gramEnd"/>
      <w:r w:rsidRPr="008C7F7C">
        <w:rPr>
          <w:rFonts w:ascii="Garamond" w:hAnsi="Garamond" w:cs="Garamond"/>
          <w:kern w:val="1"/>
        </w:rPr>
        <w:t>interesse generale. Pertanto nessun vantaggio potrebbe derivare dall’annullamento dei provvedimenti impugnati a favore delle appellanti.</w:t>
      </w:r>
    </w:p>
    <w:p w:rsidR="008C7F7C" w:rsidRPr="008C7F7C" w:rsidRDefault="008C7F7C" w:rsidP="008C7F7C">
      <w:pPr>
        <w:widowControl w:val="0"/>
        <w:autoSpaceDE w:val="0"/>
        <w:autoSpaceDN w:val="0"/>
        <w:adjustRightInd w:val="0"/>
        <w:jc w:val="both"/>
        <w:rPr>
          <w:rFonts w:ascii="Garamond" w:hAnsi="Garamond" w:cs="Garamond"/>
          <w:kern w:val="1"/>
        </w:rPr>
      </w:pPr>
      <w:r w:rsidRPr="008C7F7C">
        <w:rPr>
          <w:rFonts w:ascii="Garamond" w:hAnsi="Garamond" w:cs="Garamond"/>
          <w:kern w:val="1"/>
        </w:rPr>
        <w:t xml:space="preserve">Ciò, tanto più, considerando che nel nostro sistema giuridico vige il principio della neutralità della forma giuridica. Esso, di derivazione comunitaria, è stato accolto nell’ordinamento italiano a livello legislativo e giurisprudenziale (ex </w:t>
      </w:r>
      <w:proofErr w:type="spellStart"/>
      <w:r w:rsidRPr="008C7F7C">
        <w:rPr>
          <w:rFonts w:ascii="Garamond" w:hAnsi="Garamond" w:cs="Garamond"/>
          <w:kern w:val="1"/>
        </w:rPr>
        <w:t>multis</w:t>
      </w:r>
      <w:proofErr w:type="spellEnd"/>
      <w:r w:rsidRPr="008C7F7C">
        <w:rPr>
          <w:rFonts w:ascii="Garamond" w:hAnsi="Garamond" w:cs="Garamond"/>
          <w:kern w:val="1"/>
        </w:rPr>
        <w:t xml:space="preserve"> </w:t>
      </w:r>
      <w:proofErr w:type="spellStart"/>
      <w:r w:rsidRPr="008C7F7C">
        <w:rPr>
          <w:rFonts w:ascii="Garamond" w:hAnsi="Garamond" w:cs="Garamond"/>
          <w:kern w:val="1"/>
        </w:rPr>
        <w:t>Cass</w:t>
      </w:r>
      <w:proofErr w:type="spellEnd"/>
      <w:r w:rsidRPr="008C7F7C">
        <w:rPr>
          <w:rFonts w:ascii="Garamond" w:hAnsi="Garamond" w:cs="Garamond"/>
          <w:kern w:val="1"/>
        </w:rPr>
        <w:t xml:space="preserve">. S.U., 25.11.2013, n. 26283) e la sua applicazione nel caso specifico induce a considerare ininfluente la forma giuridica assunta dall’ente. Rispetto alla configurazione privatistica dello stesso appaiono, infatti, preminenti i fini che esso persegue, le risorse che </w:t>
      </w:r>
      <w:proofErr w:type="gramStart"/>
      <w:r w:rsidRPr="008C7F7C">
        <w:rPr>
          <w:rFonts w:ascii="Garamond" w:hAnsi="Garamond" w:cs="Garamond"/>
          <w:kern w:val="1"/>
        </w:rPr>
        <w:t>utilizza</w:t>
      </w:r>
      <w:proofErr w:type="gramEnd"/>
      <w:r w:rsidRPr="008C7F7C">
        <w:rPr>
          <w:rFonts w:ascii="Garamond" w:hAnsi="Garamond" w:cs="Garamond"/>
          <w:kern w:val="1"/>
        </w:rPr>
        <w:t xml:space="preserve"> per realizzarli e i controlli cui è sottoposto.</w:t>
      </w:r>
    </w:p>
    <w:p w:rsidR="008C7F7C" w:rsidRPr="008C7F7C" w:rsidRDefault="008C7F7C" w:rsidP="008C7F7C">
      <w:pPr>
        <w:widowControl w:val="0"/>
        <w:autoSpaceDE w:val="0"/>
        <w:autoSpaceDN w:val="0"/>
        <w:adjustRightInd w:val="0"/>
        <w:jc w:val="both"/>
        <w:rPr>
          <w:rFonts w:ascii="Garamond" w:hAnsi="Garamond" w:cs="Garamond"/>
          <w:kern w:val="1"/>
        </w:rPr>
      </w:pPr>
      <w:r w:rsidRPr="008C7F7C">
        <w:rPr>
          <w:rFonts w:ascii="Garamond" w:hAnsi="Garamond" w:cs="Garamond"/>
          <w:kern w:val="1"/>
        </w:rPr>
        <w:t xml:space="preserve">La trasformazione dell’Ente per cui è causa non è quindi in grado di per sé di recare danno alla realizzazione dei fini </w:t>
      </w:r>
      <w:proofErr w:type="gramStart"/>
      <w:r w:rsidRPr="008C7F7C">
        <w:rPr>
          <w:rFonts w:ascii="Garamond" w:hAnsi="Garamond" w:cs="Garamond"/>
          <w:kern w:val="1"/>
        </w:rPr>
        <w:t>a cui</w:t>
      </w:r>
      <w:proofErr w:type="gramEnd"/>
      <w:r w:rsidRPr="008C7F7C">
        <w:rPr>
          <w:rFonts w:ascii="Garamond" w:hAnsi="Garamond" w:cs="Garamond"/>
          <w:kern w:val="1"/>
        </w:rPr>
        <w:t xml:space="preserve"> esso è deputato.</w:t>
      </w:r>
    </w:p>
    <w:p w:rsidR="008C7F7C" w:rsidRPr="008C7F7C" w:rsidRDefault="008C7F7C" w:rsidP="008C7F7C">
      <w:pPr>
        <w:widowControl w:val="0"/>
        <w:autoSpaceDE w:val="0"/>
        <w:autoSpaceDN w:val="0"/>
        <w:adjustRightInd w:val="0"/>
        <w:jc w:val="both"/>
        <w:rPr>
          <w:rFonts w:ascii="Garamond" w:hAnsi="Garamond" w:cs="Garamond"/>
          <w:kern w:val="1"/>
        </w:rPr>
      </w:pPr>
      <w:r w:rsidRPr="008C7F7C">
        <w:rPr>
          <w:rFonts w:ascii="Garamond" w:hAnsi="Garamond" w:cs="Garamond"/>
          <w:kern w:val="1"/>
        </w:rPr>
        <w:t>Per tali ragioni si deve ritenere che manchi l’interesse al ricorso in capo agli odierni ricorrenti e l’appello va pertanto rigettato.</w:t>
      </w:r>
    </w:p>
    <w:p w:rsidR="008C7F7C" w:rsidRPr="008C7F7C" w:rsidRDefault="008C7F7C" w:rsidP="008C7F7C">
      <w:pPr>
        <w:widowControl w:val="0"/>
        <w:autoSpaceDE w:val="0"/>
        <w:autoSpaceDN w:val="0"/>
        <w:adjustRightInd w:val="0"/>
        <w:jc w:val="both"/>
        <w:rPr>
          <w:rFonts w:ascii="Garamond" w:hAnsi="Garamond" w:cs="Garamond"/>
          <w:kern w:val="1"/>
        </w:rPr>
      </w:pPr>
      <w:r w:rsidRPr="008C7F7C">
        <w:rPr>
          <w:rFonts w:ascii="Garamond" w:hAnsi="Garamond" w:cs="Garamond"/>
          <w:kern w:val="1"/>
        </w:rPr>
        <w:t>Per la natura della questione sussistono giusti motivi per la compensazione integrale delle spese tra le parti.</w:t>
      </w:r>
    </w:p>
    <w:p w:rsidR="008C7F7C" w:rsidRPr="008C7F7C" w:rsidRDefault="008C7F7C" w:rsidP="008C7F7C">
      <w:pPr>
        <w:widowControl w:val="0"/>
        <w:autoSpaceDE w:val="0"/>
        <w:autoSpaceDN w:val="0"/>
        <w:adjustRightInd w:val="0"/>
        <w:jc w:val="center"/>
        <w:rPr>
          <w:rFonts w:ascii="Garamond" w:hAnsi="Garamond" w:cs="Garamond"/>
          <w:kern w:val="1"/>
        </w:rPr>
      </w:pPr>
      <w:r w:rsidRPr="008C7F7C">
        <w:rPr>
          <w:rFonts w:ascii="Garamond" w:hAnsi="Garamond" w:cs="Garamond"/>
          <w:kern w:val="1"/>
        </w:rPr>
        <w:t>P.Q.M.</w:t>
      </w:r>
    </w:p>
    <w:p w:rsidR="008C7F7C" w:rsidRPr="008C7F7C" w:rsidRDefault="008C7F7C" w:rsidP="008C7F7C">
      <w:pPr>
        <w:widowControl w:val="0"/>
        <w:autoSpaceDE w:val="0"/>
        <w:autoSpaceDN w:val="0"/>
        <w:adjustRightInd w:val="0"/>
        <w:jc w:val="both"/>
        <w:rPr>
          <w:rFonts w:ascii="Garamond" w:hAnsi="Garamond" w:cs="Garamond"/>
          <w:kern w:val="1"/>
        </w:rPr>
      </w:pPr>
      <w:r w:rsidRPr="008C7F7C">
        <w:rPr>
          <w:rFonts w:ascii="Garamond" w:hAnsi="Garamond" w:cs="Garamond"/>
          <w:kern w:val="1"/>
        </w:rPr>
        <w:t>Il Consiglio di Stato in sede giurisdizionale (Sezione Terza)</w:t>
      </w:r>
    </w:p>
    <w:p w:rsidR="008C7F7C" w:rsidRPr="008C7F7C" w:rsidRDefault="008C7F7C" w:rsidP="008C7F7C">
      <w:pPr>
        <w:widowControl w:val="0"/>
        <w:autoSpaceDE w:val="0"/>
        <w:autoSpaceDN w:val="0"/>
        <w:adjustRightInd w:val="0"/>
        <w:jc w:val="both"/>
        <w:rPr>
          <w:rFonts w:ascii="Garamond" w:hAnsi="Garamond" w:cs="Garamond"/>
          <w:kern w:val="1"/>
        </w:rPr>
      </w:pPr>
      <w:proofErr w:type="gramStart"/>
      <w:r w:rsidRPr="008C7F7C">
        <w:rPr>
          <w:rFonts w:ascii="Garamond" w:hAnsi="Garamond" w:cs="Garamond"/>
          <w:kern w:val="1"/>
        </w:rPr>
        <w:t>definitivamente</w:t>
      </w:r>
      <w:proofErr w:type="gramEnd"/>
      <w:r w:rsidRPr="008C7F7C">
        <w:rPr>
          <w:rFonts w:ascii="Garamond" w:hAnsi="Garamond" w:cs="Garamond"/>
          <w:kern w:val="1"/>
        </w:rPr>
        <w:t xml:space="preserve"> pronunciando sull'appello, come in epigrafe proposto, rigetta</w:t>
      </w:r>
    </w:p>
    <w:p w:rsidR="008C7F7C" w:rsidRPr="008C7F7C" w:rsidRDefault="008C7F7C" w:rsidP="008C7F7C">
      <w:pPr>
        <w:widowControl w:val="0"/>
        <w:autoSpaceDE w:val="0"/>
        <w:autoSpaceDN w:val="0"/>
        <w:adjustRightInd w:val="0"/>
        <w:jc w:val="both"/>
        <w:rPr>
          <w:rFonts w:ascii="Garamond" w:hAnsi="Garamond" w:cs="Garamond"/>
          <w:kern w:val="1"/>
        </w:rPr>
      </w:pPr>
      <w:proofErr w:type="gramStart"/>
      <w:r w:rsidRPr="008C7F7C">
        <w:rPr>
          <w:rFonts w:ascii="Garamond" w:hAnsi="Garamond" w:cs="Garamond"/>
          <w:kern w:val="1"/>
        </w:rPr>
        <w:t>l</w:t>
      </w:r>
      <w:proofErr w:type="gramEnd"/>
      <w:r w:rsidRPr="008C7F7C">
        <w:rPr>
          <w:rFonts w:ascii="Garamond" w:hAnsi="Garamond" w:cs="Garamond"/>
          <w:kern w:val="1"/>
        </w:rPr>
        <w:t xml:space="preserve"> 'appello.</w:t>
      </w:r>
    </w:p>
    <w:p w:rsidR="008C7F7C" w:rsidRPr="008C7F7C" w:rsidRDefault="008C7F7C" w:rsidP="008C7F7C">
      <w:pPr>
        <w:widowControl w:val="0"/>
        <w:autoSpaceDE w:val="0"/>
        <w:autoSpaceDN w:val="0"/>
        <w:adjustRightInd w:val="0"/>
        <w:jc w:val="both"/>
        <w:rPr>
          <w:rFonts w:ascii="Garamond" w:hAnsi="Garamond" w:cs="Garamond"/>
          <w:kern w:val="1"/>
        </w:rPr>
      </w:pPr>
      <w:r w:rsidRPr="008C7F7C">
        <w:rPr>
          <w:rFonts w:ascii="Garamond" w:hAnsi="Garamond" w:cs="Garamond"/>
          <w:kern w:val="1"/>
        </w:rPr>
        <w:t>Spese compensate.</w:t>
      </w:r>
    </w:p>
    <w:p w:rsidR="008C7F7C" w:rsidRPr="008C7F7C" w:rsidRDefault="008C7F7C" w:rsidP="008C7F7C">
      <w:pPr>
        <w:widowControl w:val="0"/>
        <w:autoSpaceDE w:val="0"/>
        <w:autoSpaceDN w:val="0"/>
        <w:adjustRightInd w:val="0"/>
        <w:jc w:val="both"/>
        <w:rPr>
          <w:rFonts w:ascii="Garamond" w:hAnsi="Garamond" w:cs="Garamond"/>
          <w:kern w:val="1"/>
        </w:rPr>
      </w:pPr>
      <w:r w:rsidRPr="008C7F7C">
        <w:rPr>
          <w:rFonts w:ascii="Garamond" w:hAnsi="Garamond" w:cs="Garamond"/>
          <w:kern w:val="1"/>
        </w:rPr>
        <w:t>Ordina che la presente sentenza sia eseguita dall'autorità amministrativa.</w:t>
      </w:r>
    </w:p>
    <w:p w:rsidR="008C7F7C" w:rsidRPr="008C7F7C" w:rsidRDefault="008C7F7C" w:rsidP="008C7F7C">
      <w:pPr>
        <w:widowControl w:val="0"/>
        <w:autoSpaceDE w:val="0"/>
        <w:autoSpaceDN w:val="0"/>
        <w:adjustRightInd w:val="0"/>
        <w:jc w:val="both"/>
        <w:rPr>
          <w:rFonts w:ascii="Garamond" w:hAnsi="Garamond" w:cs="Garamond"/>
          <w:kern w:val="1"/>
        </w:rPr>
      </w:pPr>
    </w:p>
    <w:p w:rsidR="008C7F7C" w:rsidRPr="008C7F7C" w:rsidRDefault="008C7F7C" w:rsidP="008C7F7C">
      <w:pPr>
        <w:widowControl w:val="0"/>
        <w:autoSpaceDE w:val="0"/>
        <w:autoSpaceDN w:val="0"/>
        <w:adjustRightInd w:val="0"/>
        <w:rPr>
          <w:rFonts w:ascii="Times" w:hAnsi="Times" w:cs="Times"/>
          <w:kern w:val="1"/>
        </w:rPr>
      </w:pPr>
    </w:p>
    <w:p w:rsidR="008C7F7C" w:rsidRPr="008C7F7C" w:rsidRDefault="008C7F7C" w:rsidP="008C7F7C">
      <w:pPr>
        <w:widowControl w:val="0"/>
        <w:autoSpaceDE w:val="0"/>
        <w:autoSpaceDN w:val="0"/>
        <w:adjustRightInd w:val="0"/>
        <w:jc w:val="both"/>
        <w:rPr>
          <w:rFonts w:ascii="Garamond" w:hAnsi="Garamond" w:cs="Garamond"/>
          <w:kern w:val="1"/>
        </w:rPr>
      </w:pPr>
      <w:r w:rsidRPr="008C7F7C">
        <w:rPr>
          <w:rFonts w:ascii="Garamond" w:hAnsi="Garamond" w:cs="Garamond"/>
          <w:kern w:val="1"/>
        </w:rPr>
        <w:t>Così deciso in Roma nella camera di consiglio del giorno 20 marzo 2014 con l'intervento dei magistrati:</w:t>
      </w:r>
    </w:p>
    <w:p w:rsidR="008C7F7C" w:rsidRPr="008C7F7C" w:rsidRDefault="008C7F7C" w:rsidP="008C7F7C">
      <w:pPr>
        <w:widowControl w:val="0"/>
        <w:autoSpaceDE w:val="0"/>
        <w:autoSpaceDN w:val="0"/>
        <w:adjustRightInd w:val="0"/>
        <w:jc w:val="both"/>
        <w:rPr>
          <w:rFonts w:ascii="Garamond" w:hAnsi="Garamond" w:cs="Garamond"/>
          <w:kern w:val="1"/>
        </w:rPr>
      </w:pPr>
    </w:p>
    <w:p w:rsidR="008C7F7C" w:rsidRPr="008C7F7C" w:rsidRDefault="008C7F7C" w:rsidP="008C7F7C">
      <w:pPr>
        <w:widowControl w:val="0"/>
        <w:autoSpaceDE w:val="0"/>
        <w:autoSpaceDN w:val="0"/>
        <w:adjustRightInd w:val="0"/>
        <w:jc w:val="both"/>
        <w:rPr>
          <w:rFonts w:ascii="Garamond" w:hAnsi="Garamond" w:cs="Garamond"/>
          <w:kern w:val="1"/>
        </w:rPr>
      </w:pPr>
    </w:p>
    <w:p w:rsidR="008C7F7C" w:rsidRPr="008C7F7C" w:rsidRDefault="008C7F7C" w:rsidP="008C7F7C">
      <w:pPr>
        <w:widowControl w:val="0"/>
        <w:autoSpaceDE w:val="0"/>
        <w:autoSpaceDN w:val="0"/>
        <w:adjustRightInd w:val="0"/>
        <w:ind w:firstLine="740"/>
        <w:rPr>
          <w:rFonts w:ascii="Garamond" w:hAnsi="Garamond" w:cs="Garamond"/>
          <w:kern w:val="1"/>
        </w:rPr>
      </w:pPr>
      <w:r w:rsidRPr="008C7F7C">
        <w:rPr>
          <w:rFonts w:ascii="Garamond" w:hAnsi="Garamond" w:cs="Garamond"/>
          <w:kern w:val="1"/>
        </w:rPr>
        <w:t>Giuseppe Romeo, Presidente</w:t>
      </w:r>
    </w:p>
    <w:p w:rsidR="008C7F7C" w:rsidRPr="008C7F7C" w:rsidRDefault="008C7F7C" w:rsidP="008C7F7C">
      <w:pPr>
        <w:widowControl w:val="0"/>
        <w:autoSpaceDE w:val="0"/>
        <w:autoSpaceDN w:val="0"/>
        <w:adjustRightInd w:val="0"/>
        <w:ind w:firstLine="740"/>
        <w:rPr>
          <w:rFonts w:ascii="Garamond" w:hAnsi="Garamond" w:cs="Garamond"/>
          <w:kern w:val="1"/>
        </w:rPr>
      </w:pPr>
      <w:r w:rsidRPr="008C7F7C">
        <w:rPr>
          <w:rFonts w:ascii="Garamond" w:hAnsi="Garamond" w:cs="Garamond"/>
          <w:kern w:val="1"/>
        </w:rPr>
        <w:t>Michele Corradino, Consigliere, Estensore</w:t>
      </w:r>
    </w:p>
    <w:p w:rsidR="008C7F7C" w:rsidRPr="008C7F7C" w:rsidRDefault="008C7F7C" w:rsidP="008C7F7C">
      <w:pPr>
        <w:widowControl w:val="0"/>
        <w:autoSpaceDE w:val="0"/>
        <w:autoSpaceDN w:val="0"/>
        <w:adjustRightInd w:val="0"/>
        <w:ind w:firstLine="740"/>
        <w:rPr>
          <w:rFonts w:ascii="Garamond" w:hAnsi="Garamond" w:cs="Garamond"/>
          <w:kern w:val="1"/>
        </w:rPr>
      </w:pPr>
      <w:r w:rsidRPr="008C7F7C">
        <w:rPr>
          <w:rFonts w:ascii="Garamond" w:hAnsi="Garamond" w:cs="Garamond"/>
          <w:kern w:val="1"/>
        </w:rPr>
        <w:t xml:space="preserve">Salvatore </w:t>
      </w:r>
      <w:proofErr w:type="spellStart"/>
      <w:r w:rsidRPr="008C7F7C">
        <w:rPr>
          <w:rFonts w:ascii="Garamond" w:hAnsi="Garamond" w:cs="Garamond"/>
          <w:kern w:val="1"/>
        </w:rPr>
        <w:t>Cacace</w:t>
      </w:r>
      <w:proofErr w:type="spellEnd"/>
      <w:r w:rsidRPr="008C7F7C">
        <w:rPr>
          <w:rFonts w:ascii="Garamond" w:hAnsi="Garamond" w:cs="Garamond"/>
          <w:kern w:val="1"/>
        </w:rPr>
        <w:t>, Consigliere</w:t>
      </w:r>
    </w:p>
    <w:p w:rsidR="008C7F7C" w:rsidRPr="008C7F7C" w:rsidRDefault="008C7F7C" w:rsidP="008C7F7C">
      <w:pPr>
        <w:widowControl w:val="0"/>
        <w:autoSpaceDE w:val="0"/>
        <w:autoSpaceDN w:val="0"/>
        <w:adjustRightInd w:val="0"/>
        <w:ind w:firstLine="740"/>
        <w:rPr>
          <w:rFonts w:ascii="Garamond" w:hAnsi="Garamond" w:cs="Garamond"/>
          <w:kern w:val="1"/>
        </w:rPr>
      </w:pPr>
      <w:r w:rsidRPr="008C7F7C">
        <w:rPr>
          <w:rFonts w:ascii="Garamond" w:hAnsi="Garamond" w:cs="Garamond"/>
          <w:kern w:val="1"/>
        </w:rPr>
        <w:t>Vittorio Stelo, Consigliere</w:t>
      </w:r>
    </w:p>
    <w:p w:rsidR="008C7F7C" w:rsidRPr="008C7F7C" w:rsidRDefault="008C7F7C" w:rsidP="008C7F7C">
      <w:pPr>
        <w:widowControl w:val="0"/>
        <w:autoSpaceDE w:val="0"/>
        <w:autoSpaceDN w:val="0"/>
        <w:adjustRightInd w:val="0"/>
        <w:ind w:firstLine="740"/>
        <w:rPr>
          <w:rFonts w:ascii="Garamond" w:hAnsi="Garamond" w:cs="Garamond"/>
          <w:kern w:val="1"/>
        </w:rPr>
      </w:pPr>
      <w:r w:rsidRPr="008C7F7C">
        <w:rPr>
          <w:rFonts w:ascii="Garamond" w:hAnsi="Garamond" w:cs="Garamond"/>
          <w:kern w:val="1"/>
        </w:rPr>
        <w:t xml:space="preserve">Roberto </w:t>
      </w:r>
      <w:proofErr w:type="spellStart"/>
      <w:r w:rsidRPr="008C7F7C">
        <w:rPr>
          <w:rFonts w:ascii="Garamond" w:hAnsi="Garamond" w:cs="Garamond"/>
          <w:kern w:val="1"/>
        </w:rPr>
        <w:t>Capuzzi</w:t>
      </w:r>
      <w:proofErr w:type="spellEnd"/>
      <w:r w:rsidRPr="008C7F7C">
        <w:rPr>
          <w:rFonts w:ascii="Garamond" w:hAnsi="Garamond" w:cs="Garamond"/>
          <w:kern w:val="1"/>
        </w:rPr>
        <w:t>, Consigliere</w:t>
      </w:r>
    </w:p>
    <w:p w:rsidR="008C7F7C" w:rsidRPr="008C7F7C" w:rsidRDefault="008C7F7C" w:rsidP="008C7F7C">
      <w:pPr>
        <w:widowControl w:val="0"/>
        <w:autoSpaceDE w:val="0"/>
        <w:autoSpaceDN w:val="0"/>
        <w:adjustRightInd w:val="0"/>
        <w:spacing w:after="320"/>
        <w:rPr>
          <w:rFonts w:ascii="Times" w:hAnsi="Times" w:cs="Times"/>
          <w:kern w:val="1"/>
        </w:rPr>
      </w:pPr>
    </w:p>
    <w:p w:rsidR="008C7F7C" w:rsidRPr="008C7F7C" w:rsidRDefault="008C7F7C" w:rsidP="008C7F7C">
      <w:pPr>
        <w:widowControl w:val="0"/>
        <w:autoSpaceDE w:val="0"/>
        <w:autoSpaceDN w:val="0"/>
        <w:adjustRightInd w:val="0"/>
        <w:spacing w:after="320"/>
        <w:rPr>
          <w:rFonts w:ascii="Times" w:hAnsi="Times" w:cs="Times"/>
          <w:kern w:val="1"/>
        </w:rPr>
      </w:pPr>
    </w:p>
    <w:p w:rsidR="008C7F7C" w:rsidRPr="008C7F7C" w:rsidRDefault="008C7F7C" w:rsidP="008C7F7C">
      <w:pPr>
        <w:widowControl w:val="0"/>
        <w:autoSpaceDE w:val="0"/>
        <w:autoSpaceDN w:val="0"/>
        <w:adjustRightInd w:val="0"/>
        <w:spacing w:after="320"/>
        <w:rPr>
          <w:rFonts w:ascii="Times" w:hAnsi="Times" w:cs="Times"/>
          <w:kern w:val="1"/>
        </w:rPr>
      </w:pPr>
    </w:p>
    <w:p w:rsidR="008C7F7C" w:rsidRPr="008C7F7C" w:rsidRDefault="008C7F7C" w:rsidP="008C7F7C">
      <w:pPr>
        <w:widowControl w:val="0"/>
        <w:autoSpaceDE w:val="0"/>
        <w:autoSpaceDN w:val="0"/>
        <w:adjustRightInd w:val="0"/>
        <w:spacing w:after="320"/>
        <w:rPr>
          <w:rFonts w:ascii="Times" w:hAnsi="Times" w:cs="Times"/>
          <w:kern w:val="1"/>
        </w:rPr>
      </w:pPr>
    </w:p>
    <w:tbl>
      <w:tblPr>
        <w:tblW w:w="23220" w:type="dxa"/>
        <w:tblBorders>
          <w:top w:val="nil"/>
          <w:left w:val="nil"/>
          <w:right w:val="nil"/>
        </w:tblBorders>
        <w:tblLayout w:type="fixed"/>
        <w:tblLook w:val="0000" w:firstRow="0" w:lastRow="0" w:firstColumn="0" w:lastColumn="0" w:noHBand="0" w:noVBand="0"/>
      </w:tblPr>
      <w:tblGrid>
        <w:gridCol w:w="10922"/>
        <w:gridCol w:w="236"/>
        <w:gridCol w:w="12062"/>
      </w:tblGrid>
      <w:tr w:rsidR="008C7F7C" w:rsidRPr="008C7F7C">
        <w:tblPrEx>
          <w:tblCellMar>
            <w:top w:w="0" w:type="dxa"/>
            <w:bottom w:w="0" w:type="dxa"/>
          </w:tblCellMar>
        </w:tblPrEx>
        <w:tc>
          <w:tcPr>
            <w:tcW w:w="10920" w:type="dxa"/>
            <w:tcMar>
              <w:top w:w="20" w:type="nil"/>
              <w:left w:w="20" w:type="nil"/>
              <w:bottom w:w="20" w:type="nil"/>
              <w:right w:w="20" w:type="nil"/>
            </w:tcMar>
            <w:vAlign w:val="center"/>
          </w:tcPr>
          <w:p w:rsidR="008C7F7C" w:rsidRPr="008C7F7C" w:rsidRDefault="008C7F7C">
            <w:pPr>
              <w:widowControl w:val="0"/>
              <w:autoSpaceDE w:val="0"/>
              <w:autoSpaceDN w:val="0"/>
              <w:adjustRightInd w:val="0"/>
              <w:jc w:val="center"/>
              <w:rPr>
                <w:rFonts w:ascii="Times New Roman" w:hAnsi="Times New Roman" w:cs="Times New Roman"/>
                <w:b/>
                <w:bCs/>
                <w:kern w:val="1"/>
              </w:rPr>
            </w:pPr>
            <w:r w:rsidRPr="008C7F7C">
              <w:rPr>
                <w:rFonts w:ascii="Times New Roman" w:hAnsi="Times New Roman" w:cs="Times New Roman"/>
                <w:b/>
                <w:bCs/>
                <w:kern w:val="1"/>
              </w:rPr>
              <w:t> </w:t>
            </w:r>
          </w:p>
        </w:tc>
        <w:tc>
          <w:tcPr>
            <w:tcW w:w="120" w:type="dxa"/>
            <w:tcMar>
              <w:top w:w="20" w:type="nil"/>
              <w:left w:w="20" w:type="nil"/>
              <w:bottom w:w="20" w:type="nil"/>
              <w:right w:w="20" w:type="nil"/>
            </w:tcMar>
            <w:vAlign w:val="center"/>
          </w:tcPr>
          <w:p w:rsidR="008C7F7C" w:rsidRPr="008C7F7C" w:rsidRDefault="008C7F7C">
            <w:pPr>
              <w:widowControl w:val="0"/>
              <w:autoSpaceDE w:val="0"/>
              <w:autoSpaceDN w:val="0"/>
              <w:adjustRightInd w:val="0"/>
              <w:jc w:val="center"/>
              <w:rPr>
                <w:rFonts w:ascii="Times New Roman" w:hAnsi="Times New Roman" w:cs="Times New Roman"/>
                <w:b/>
                <w:bCs/>
                <w:kern w:val="1"/>
              </w:rPr>
            </w:pPr>
          </w:p>
        </w:tc>
        <w:tc>
          <w:tcPr>
            <w:tcW w:w="12060" w:type="dxa"/>
            <w:tcMar>
              <w:top w:w="20" w:type="nil"/>
              <w:left w:w="20" w:type="nil"/>
              <w:bottom w:w="20" w:type="nil"/>
              <w:right w:w="20" w:type="nil"/>
            </w:tcMar>
            <w:vAlign w:val="center"/>
          </w:tcPr>
          <w:p w:rsidR="008C7F7C" w:rsidRPr="008C7F7C" w:rsidRDefault="008C7F7C">
            <w:pPr>
              <w:widowControl w:val="0"/>
              <w:autoSpaceDE w:val="0"/>
              <w:autoSpaceDN w:val="0"/>
              <w:adjustRightInd w:val="0"/>
              <w:jc w:val="center"/>
              <w:rPr>
                <w:rFonts w:ascii="Times New Roman" w:hAnsi="Times New Roman" w:cs="Times New Roman"/>
                <w:b/>
                <w:bCs/>
                <w:kern w:val="1"/>
              </w:rPr>
            </w:pPr>
          </w:p>
        </w:tc>
      </w:tr>
      <w:tr w:rsidR="008C7F7C" w:rsidRPr="008C7F7C">
        <w:tblPrEx>
          <w:tblBorders>
            <w:top w:val="none" w:sz="0" w:space="0" w:color="auto"/>
          </w:tblBorders>
          <w:tblCellMar>
            <w:top w:w="0" w:type="dxa"/>
            <w:bottom w:w="0" w:type="dxa"/>
          </w:tblCellMar>
        </w:tblPrEx>
        <w:tc>
          <w:tcPr>
            <w:tcW w:w="10920" w:type="dxa"/>
            <w:tcMar>
              <w:top w:w="20" w:type="nil"/>
              <w:left w:w="20" w:type="nil"/>
              <w:bottom w:w="20" w:type="nil"/>
              <w:right w:w="20" w:type="nil"/>
            </w:tcMar>
            <w:vAlign w:val="center"/>
          </w:tcPr>
          <w:p w:rsidR="008C7F7C" w:rsidRPr="008C7F7C" w:rsidRDefault="008C7F7C">
            <w:pPr>
              <w:widowControl w:val="0"/>
              <w:autoSpaceDE w:val="0"/>
              <w:autoSpaceDN w:val="0"/>
              <w:adjustRightInd w:val="0"/>
              <w:jc w:val="center"/>
              <w:rPr>
                <w:rFonts w:ascii="Times New Roman" w:hAnsi="Times New Roman" w:cs="Times New Roman"/>
                <w:b/>
                <w:bCs/>
                <w:kern w:val="1"/>
              </w:rPr>
            </w:pPr>
            <w:r w:rsidRPr="008C7F7C">
              <w:rPr>
                <w:rFonts w:ascii="Times New Roman" w:hAnsi="Times New Roman" w:cs="Times New Roman"/>
                <w:b/>
                <w:bCs/>
                <w:kern w:val="1"/>
              </w:rPr>
              <w:t> </w:t>
            </w:r>
          </w:p>
        </w:tc>
        <w:tc>
          <w:tcPr>
            <w:tcW w:w="120" w:type="dxa"/>
            <w:tcMar>
              <w:top w:w="20" w:type="nil"/>
              <w:left w:w="20" w:type="nil"/>
              <w:bottom w:w="20" w:type="nil"/>
              <w:right w:w="20" w:type="nil"/>
            </w:tcMar>
            <w:vAlign w:val="center"/>
          </w:tcPr>
          <w:p w:rsidR="008C7F7C" w:rsidRPr="008C7F7C" w:rsidRDefault="008C7F7C">
            <w:pPr>
              <w:widowControl w:val="0"/>
              <w:autoSpaceDE w:val="0"/>
              <w:autoSpaceDN w:val="0"/>
              <w:adjustRightInd w:val="0"/>
              <w:jc w:val="center"/>
              <w:rPr>
                <w:rFonts w:ascii="Times New Roman" w:hAnsi="Times New Roman" w:cs="Times New Roman"/>
                <w:b/>
                <w:bCs/>
                <w:kern w:val="1"/>
              </w:rPr>
            </w:pPr>
          </w:p>
        </w:tc>
        <w:tc>
          <w:tcPr>
            <w:tcW w:w="12060" w:type="dxa"/>
            <w:tcMar>
              <w:top w:w="20" w:type="nil"/>
              <w:left w:w="20" w:type="nil"/>
              <w:bottom w:w="20" w:type="nil"/>
              <w:right w:w="20" w:type="nil"/>
            </w:tcMar>
            <w:vAlign w:val="center"/>
          </w:tcPr>
          <w:p w:rsidR="008C7F7C" w:rsidRPr="008C7F7C" w:rsidRDefault="008C7F7C">
            <w:pPr>
              <w:widowControl w:val="0"/>
              <w:autoSpaceDE w:val="0"/>
              <w:autoSpaceDN w:val="0"/>
              <w:adjustRightInd w:val="0"/>
              <w:jc w:val="center"/>
              <w:rPr>
                <w:rFonts w:ascii="Times New Roman" w:hAnsi="Times New Roman" w:cs="Times New Roman"/>
                <w:b/>
                <w:bCs/>
                <w:kern w:val="1"/>
              </w:rPr>
            </w:pPr>
          </w:p>
        </w:tc>
      </w:tr>
      <w:tr w:rsidR="008C7F7C" w:rsidRPr="008C7F7C">
        <w:tblPrEx>
          <w:tblBorders>
            <w:top w:val="none" w:sz="0" w:space="0" w:color="auto"/>
          </w:tblBorders>
          <w:tblCellMar>
            <w:top w:w="0" w:type="dxa"/>
            <w:bottom w:w="0" w:type="dxa"/>
          </w:tblCellMar>
        </w:tblPrEx>
        <w:tc>
          <w:tcPr>
            <w:tcW w:w="10920" w:type="dxa"/>
            <w:tcMar>
              <w:top w:w="20" w:type="nil"/>
              <w:left w:w="20" w:type="nil"/>
              <w:bottom w:w="20" w:type="nil"/>
              <w:right w:w="20" w:type="nil"/>
            </w:tcMar>
            <w:vAlign w:val="center"/>
          </w:tcPr>
          <w:p w:rsidR="008C7F7C" w:rsidRPr="008C7F7C" w:rsidRDefault="008C7F7C">
            <w:pPr>
              <w:widowControl w:val="0"/>
              <w:autoSpaceDE w:val="0"/>
              <w:autoSpaceDN w:val="0"/>
              <w:adjustRightInd w:val="0"/>
              <w:jc w:val="center"/>
              <w:rPr>
                <w:rFonts w:ascii="Times New Roman" w:hAnsi="Times New Roman" w:cs="Times New Roman"/>
                <w:b/>
                <w:bCs/>
                <w:kern w:val="1"/>
              </w:rPr>
            </w:pPr>
            <w:r w:rsidRPr="008C7F7C">
              <w:rPr>
                <w:rFonts w:ascii="Times New Roman" w:hAnsi="Times New Roman" w:cs="Times New Roman"/>
                <w:b/>
                <w:bCs/>
                <w:kern w:val="1"/>
              </w:rPr>
              <w:t>L'ESTENSORE</w:t>
            </w:r>
          </w:p>
        </w:tc>
        <w:tc>
          <w:tcPr>
            <w:tcW w:w="120" w:type="dxa"/>
            <w:tcMar>
              <w:top w:w="20" w:type="nil"/>
              <w:left w:w="20" w:type="nil"/>
              <w:bottom w:w="20" w:type="nil"/>
              <w:right w:w="20" w:type="nil"/>
            </w:tcMar>
            <w:vAlign w:val="center"/>
          </w:tcPr>
          <w:p w:rsidR="008C7F7C" w:rsidRPr="008C7F7C" w:rsidRDefault="008C7F7C">
            <w:pPr>
              <w:widowControl w:val="0"/>
              <w:autoSpaceDE w:val="0"/>
              <w:autoSpaceDN w:val="0"/>
              <w:adjustRightInd w:val="0"/>
              <w:jc w:val="center"/>
              <w:rPr>
                <w:rFonts w:ascii="Times New Roman" w:hAnsi="Times New Roman" w:cs="Times New Roman"/>
                <w:b/>
                <w:bCs/>
                <w:kern w:val="1"/>
              </w:rPr>
            </w:pPr>
          </w:p>
        </w:tc>
        <w:tc>
          <w:tcPr>
            <w:tcW w:w="12060" w:type="dxa"/>
            <w:tcMar>
              <w:top w:w="20" w:type="nil"/>
              <w:left w:w="20" w:type="nil"/>
              <w:bottom w:w="20" w:type="nil"/>
              <w:right w:w="20" w:type="nil"/>
            </w:tcMar>
            <w:vAlign w:val="center"/>
          </w:tcPr>
          <w:p w:rsidR="008C7F7C" w:rsidRPr="008C7F7C" w:rsidRDefault="008C7F7C">
            <w:pPr>
              <w:widowControl w:val="0"/>
              <w:autoSpaceDE w:val="0"/>
              <w:autoSpaceDN w:val="0"/>
              <w:adjustRightInd w:val="0"/>
              <w:jc w:val="center"/>
              <w:rPr>
                <w:rFonts w:ascii="Times New Roman" w:hAnsi="Times New Roman" w:cs="Times New Roman"/>
                <w:b/>
                <w:bCs/>
                <w:kern w:val="1"/>
              </w:rPr>
            </w:pPr>
            <w:r w:rsidRPr="008C7F7C">
              <w:rPr>
                <w:rFonts w:ascii="Times New Roman" w:hAnsi="Times New Roman" w:cs="Times New Roman"/>
                <w:b/>
                <w:bCs/>
                <w:kern w:val="1"/>
              </w:rPr>
              <w:t>IL PRESIDENTE</w:t>
            </w:r>
          </w:p>
        </w:tc>
      </w:tr>
      <w:tr w:rsidR="008C7F7C" w:rsidRPr="008C7F7C">
        <w:tblPrEx>
          <w:tblBorders>
            <w:top w:val="none" w:sz="0" w:space="0" w:color="auto"/>
          </w:tblBorders>
          <w:tblCellMar>
            <w:top w:w="0" w:type="dxa"/>
            <w:bottom w:w="0" w:type="dxa"/>
          </w:tblCellMar>
        </w:tblPrEx>
        <w:tc>
          <w:tcPr>
            <w:tcW w:w="10920" w:type="dxa"/>
            <w:tcMar>
              <w:top w:w="20" w:type="nil"/>
              <w:left w:w="20" w:type="nil"/>
              <w:bottom w:w="20" w:type="nil"/>
              <w:right w:w="20" w:type="nil"/>
            </w:tcMar>
            <w:vAlign w:val="center"/>
          </w:tcPr>
          <w:p w:rsidR="008C7F7C" w:rsidRPr="008C7F7C" w:rsidRDefault="008C7F7C">
            <w:pPr>
              <w:widowControl w:val="0"/>
              <w:autoSpaceDE w:val="0"/>
              <w:autoSpaceDN w:val="0"/>
              <w:adjustRightInd w:val="0"/>
              <w:jc w:val="center"/>
              <w:rPr>
                <w:rFonts w:ascii="Times New Roman" w:hAnsi="Times New Roman" w:cs="Times New Roman"/>
                <w:b/>
                <w:bCs/>
                <w:kern w:val="1"/>
              </w:rPr>
            </w:pPr>
            <w:r w:rsidRPr="008C7F7C">
              <w:rPr>
                <w:rFonts w:ascii="Times New Roman" w:hAnsi="Times New Roman" w:cs="Times New Roman"/>
                <w:b/>
                <w:bCs/>
                <w:kern w:val="1"/>
              </w:rPr>
              <w:t> </w:t>
            </w:r>
          </w:p>
        </w:tc>
        <w:tc>
          <w:tcPr>
            <w:tcW w:w="120" w:type="dxa"/>
            <w:tcMar>
              <w:top w:w="20" w:type="nil"/>
              <w:left w:w="20" w:type="nil"/>
              <w:bottom w:w="20" w:type="nil"/>
              <w:right w:w="20" w:type="nil"/>
            </w:tcMar>
            <w:vAlign w:val="center"/>
          </w:tcPr>
          <w:p w:rsidR="008C7F7C" w:rsidRPr="008C7F7C" w:rsidRDefault="008C7F7C">
            <w:pPr>
              <w:widowControl w:val="0"/>
              <w:autoSpaceDE w:val="0"/>
              <w:autoSpaceDN w:val="0"/>
              <w:adjustRightInd w:val="0"/>
              <w:jc w:val="center"/>
              <w:rPr>
                <w:rFonts w:ascii="Times New Roman" w:hAnsi="Times New Roman" w:cs="Times New Roman"/>
                <w:b/>
                <w:bCs/>
                <w:kern w:val="1"/>
              </w:rPr>
            </w:pPr>
          </w:p>
        </w:tc>
        <w:tc>
          <w:tcPr>
            <w:tcW w:w="12060" w:type="dxa"/>
            <w:tcMar>
              <w:top w:w="20" w:type="nil"/>
              <w:left w:w="20" w:type="nil"/>
              <w:bottom w:w="20" w:type="nil"/>
              <w:right w:w="20" w:type="nil"/>
            </w:tcMar>
            <w:vAlign w:val="center"/>
          </w:tcPr>
          <w:p w:rsidR="008C7F7C" w:rsidRPr="008C7F7C" w:rsidRDefault="008C7F7C">
            <w:pPr>
              <w:widowControl w:val="0"/>
              <w:autoSpaceDE w:val="0"/>
              <w:autoSpaceDN w:val="0"/>
              <w:adjustRightInd w:val="0"/>
              <w:jc w:val="center"/>
              <w:rPr>
                <w:rFonts w:ascii="Times New Roman" w:hAnsi="Times New Roman" w:cs="Times New Roman"/>
                <w:b/>
                <w:bCs/>
                <w:kern w:val="1"/>
              </w:rPr>
            </w:pPr>
          </w:p>
        </w:tc>
      </w:tr>
      <w:tr w:rsidR="008C7F7C" w:rsidRPr="008C7F7C">
        <w:tblPrEx>
          <w:tblBorders>
            <w:top w:val="none" w:sz="0" w:space="0" w:color="auto"/>
          </w:tblBorders>
          <w:tblCellMar>
            <w:top w:w="0" w:type="dxa"/>
            <w:bottom w:w="0" w:type="dxa"/>
          </w:tblCellMar>
        </w:tblPrEx>
        <w:tc>
          <w:tcPr>
            <w:tcW w:w="10920" w:type="dxa"/>
            <w:tcMar>
              <w:top w:w="20" w:type="nil"/>
              <w:left w:w="20" w:type="nil"/>
              <w:bottom w:w="20" w:type="nil"/>
              <w:right w:w="20" w:type="nil"/>
            </w:tcMar>
            <w:vAlign w:val="center"/>
          </w:tcPr>
          <w:p w:rsidR="008C7F7C" w:rsidRPr="008C7F7C" w:rsidRDefault="008C7F7C">
            <w:pPr>
              <w:widowControl w:val="0"/>
              <w:autoSpaceDE w:val="0"/>
              <w:autoSpaceDN w:val="0"/>
              <w:adjustRightInd w:val="0"/>
              <w:jc w:val="center"/>
              <w:rPr>
                <w:rFonts w:ascii="Times New Roman" w:hAnsi="Times New Roman" w:cs="Times New Roman"/>
                <w:b/>
                <w:bCs/>
                <w:kern w:val="1"/>
              </w:rPr>
            </w:pPr>
            <w:r w:rsidRPr="008C7F7C">
              <w:rPr>
                <w:rFonts w:ascii="Times New Roman" w:hAnsi="Times New Roman" w:cs="Times New Roman"/>
                <w:b/>
                <w:bCs/>
                <w:kern w:val="1"/>
              </w:rPr>
              <w:t> </w:t>
            </w:r>
          </w:p>
        </w:tc>
        <w:tc>
          <w:tcPr>
            <w:tcW w:w="120" w:type="dxa"/>
            <w:tcMar>
              <w:top w:w="20" w:type="nil"/>
              <w:left w:w="20" w:type="nil"/>
              <w:bottom w:w="20" w:type="nil"/>
              <w:right w:w="20" w:type="nil"/>
            </w:tcMar>
            <w:vAlign w:val="center"/>
          </w:tcPr>
          <w:p w:rsidR="008C7F7C" w:rsidRPr="008C7F7C" w:rsidRDefault="008C7F7C">
            <w:pPr>
              <w:widowControl w:val="0"/>
              <w:autoSpaceDE w:val="0"/>
              <w:autoSpaceDN w:val="0"/>
              <w:adjustRightInd w:val="0"/>
              <w:jc w:val="center"/>
              <w:rPr>
                <w:rFonts w:ascii="Times New Roman" w:hAnsi="Times New Roman" w:cs="Times New Roman"/>
                <w:b/>
                <w:bCs/>
                <w:kern w:val="1"/>
              </w:rPr>
            </w:pPr>
          </w:p>
        </w:tc>
        <w:tc>
          <w:tcPr>
            <w:tcW w:w="12060" w:type="dxa"/>
            <w:tcMar>
              <w:top w:w="20" w:type="nil"/>
              <w:left w:w="20" w:type="nil"/>
              <w:bottom w:w="20" w:type="nil"/>
              <w:right w:w="20" w:type="nil"/>
            </w:tcMar>
            <w:vAlign w:val="center"/>
          </w:tcPr>
          <w:p w:rsidR="008C7F7C" w:rsidRPr="008C7F7C" w:rsidRDefault="008C7F7C">
            <w:pPr>
              <w:widowControl w:val="0"/>
              <w:autoSpaceDE w:val="0"/>
              <w:autoSpaceDN w:val="0"/>
              <w:adjustRightInd w:val="0"/>
              <w:jc w:val="center"/>
              <w:rPr>
                <w:rFonts w:ascii="Times New Roman" w:hAnsi="Times New Roman" w:cs="Times New Roman"/>
                <w:b/>
                <w:bCs/>
                <w:kern w:val="1"/>
              </w:rPr>
            </w:pPr>
          </w:p>
        </w:tc>
      </w:tr>
      <w:tr w:rsidR="008C7F7C" w:rsidRPr="008C7F7C">
        <w:tblPrEx>
          <w:tblBorders>
            <w:top w:val="none" w:sz="0" w:space="0" w:color="auto"/>
          </w:tblBorders>
          <w:tblCellMar>
            <w:top w:w="0" w:type="dxa"/>
            <w:bottom w:w="0" w:type="dxa"/>
          </w:tblCellMar>
        </w:tblPrEx>
        <w:tc>
          <w:tcPr>
            <w:tcW w:w="10920" w:type="dxa"/>
            <w:tcMar>
              <w:top w:w="20" w:type="nil"/>
              <w:left w:w="20" w:type="nil"/>
              <w:bottom w:w="20" w:type="nil"/>
              <w:right w:w="20" w:type="nil"/>
            </w:tcMar>
            <w:vAlign w:val="center"/>
          </w:tcPr>
          <w:p w:rsidR="008C7F7C" w:rsidRPr="008C7F7C" w:rsidRDefault="008C7F7C">
            <w:pPr>
              <w:widowControl w:val="0"/>
              <w:autoSpaceDE w:val="0"/>
              <w:autoSpaceDN w:val="0"/>
              <w:adjustRightInd w:val="0"/>
              <w:jc w:val="center"/>
              <w:rPr>
                <w:rFonts w:ascii="Times New Roman" w:hAnsi="Times New Roman" w:cs="Times New Roman"/>
                <w:b/>
                <w:bCs/>
                <w:kern w:val="1"/>
              </w:rPr>
            </w:pPr>
            <w:r w:rsidRPr="008C7F7C">
              <w:rPr>
                <w:rFonts w:ascii="Times New Roman" w:hAnsi="Times New Roman" w:cs="Times New Roman"/>
                <w:b/>
                <w:bCs/>
                <w:kern w:val="1"/>
              </w:rPr>
              <w:t> </w:t>
            </w:r>
          </w:p>
        </w:tc>
        <w:tc>
          <w:tcPr>
            <w:tcW w:w="120" w:type="dxa"/>
            <w:tcMar>
              <w:top w:w="20" w:type="nil"/>
              <w:left w:w="20" w:type="nil"/>
              <w:bottom w:w="20" w:type="nil"/>
              <w:right w:w="20" w:type="nil"/>
            </w:tcMar>
            <w:vAlign w:val="center"/>
          </w:tcPr>
          <w:p w:rsidR="008C7F7C" w:rsidRPr="008C7F7C" w:rsidRDefault="008C7F7C">
            <w:pPr>
              <w:widowControl w:val="0"/>
              <w:autoSpaceDE w:val="0"/>
              <w:autoSpaceDN w:val="0"/>
              <w:adjustRightInd w:val="0"/>
              <w:jc w:val="center"/>
              <w:rPr>
                <w:rFonts w:ascii="Times New Roman" w:hAnsi="Times New Roman" w:cs="Times New Roman"/>
                <w:b/>
                <w:bCs/>
                <w:kern w:val="1"/>
              </w:rPr>
            </w:pPr>
          </w:p>
        </w:tc>
        <w:tc>
          <w:tcPr>
            <w:tcW w:w="12060" w:type="dxa"/>
            <w:tcMar>
              <w:top w:w="20" w:type="nil"/>
              <w:left w:w="20" w:type="nil"/>
              <w:bottom w:w="20" w:type="nil"/>
              <w:right w:w="20" w:type="nil"/>
            </w:tcMar>
            <w:vAlign w:val="center"/>
          </w:tcPr>
          <w:p w:rsidR="008C7F7C" w:rsidRPr="008C7F7C" w:rsidRDefault="008C7F7C">
            <w:pPr>
              <w:widowControl w:val="0"/>
              <w:autoSpaceDE w:val="0"/>
              <w:autoSpaceDN w:val="0"/>
              <w:adjustRightInd w:val="0"/>
              <w:jc w:val="center"/>
              <w:rPr>
                <w:rFonts w:ascii="Times New Roman" w:hAnsi="Times New Roman" w:cs="Times New Roman"/>
                <w:b/>
                <w:bCs/>
                <w:kern w:val="1"/>
              </w:rPr>
            </w:pPr>
          </w:p>
        </w:tc>
      </w:tr>
      <w:tr w:rsidR="008C7F7C" w:rsidRPr="008C7F7C">
        <w:tblPrEx>
          <w:tblBorders>
            <w:top w:val="none" w:sz="0" w:space="0" w:color="auto"/>
          </w:tblBorders>
          <w:tblCellMar>
            <w:top w:w="0" w:type="dxa"/>
            <w:bottom w:w="0" w:type="dxa"/>
          </w:tblCellMar>
        </w:tblPrEx>
        <w:tc>
          <w:tcPr>
            <w:tcW w:w="10920" w:type="dxa"/>
            <w:tcMar>
              <w:top w:w="20" w:type="nil"/>
              <w:left w:w="20" w:type="nil"/>
              <w:bottom w:w="20" w:type="nil"/>
              <w:right w:w="20" w:type="nil"/>
            </w:tcMar>
            <w:vAlign w:val="center"/>
          </w:tcPr>
          <w:p w:rsidR="008C7F7C" w:rsidRPr="008C7F7C" w:rsidRDefault="008C7F7C">
            <w:pPr>
              <w:widowControl w:val="0"/>
              <w:autoSpaceDE w:val="0"/>
              <w:autoSpaceDN w:val="0"/>
              <w:adjustRightInd w:val="0"/>
              <w:jc w:val="center"/>
              <w:rPr>
                <w:rFonts w:ascii="Times New Roman" w:hAnsi="Times New Roman" w:cs="Times New Roman"/>
                <w:b/>
                <w:bCs/>
                <w:kern w:val="1"/>
              </w:rPr>
            </w:pPr>
            <w:r w:rsidRPr="008C7F7C">
              <w:rPr>
                <w:rFonts w:ascii="Times New Roman" w:hAnsi="Times New Roman" w:cs="Times New Roman"/>
                <w:b/>
                <w:bCs/>
                <w:kern w:val="1"/>
              </w:rPr>
              <w:t> </w:t>
            </w:r>
          </w:p>
        </w:tc>
        <w:tc>
          <w:tcPr>
            <w:tcW w:w="120" w:type="dxa"/>
            <w:tcMar>
              <w:top w:w="20" w:type="nil"/>
              <w:left w:w="20" w:type="nil"/>
              <w:bottom w:w="20" w:type="nil"/>
              <w:right w:w="20" w:type="nil"/>
            </w:tcMar>
            <w:vAlign w:val="center"/>
          </w:tcPr>
          <w:p w:rsidR="008C7F7C" w:rsidRPr="008C7F7C" w:rsidRDefault="008C7F7C">
            <w:pPr>
              <w:widowControl w:val="0"/>
              <w:autoSpaceDE w:val="0"/>
              <w:autoSpaceDN w:val="0"/>
              <w:adjustRightInd w:val="0"/>
              <w:jc w:val="center"/>
              <w:rPr>
                <w:rFonts w:ascii="Times New Roman" w:hAnsi="Times New Roman" w:cs="Times New Roman"/>
                <w:b/>
                <w:bCs/>
                <w:kern w:val="1"/>
              </w:rPr>
            </w:pPr>
          </w:p>
        </w:tc>
        <w:tc>
          <w:tcPr>
            <w:tcW w:w="12060" w:type="dxa"/>
            <w:tcMar>
              <w:top w:w="20" w:type="nil"/>
              <w:left w:w="20" w:type="nil"/>
              <w:bottom w:w="20" w:type="nil"/>
              <w:right w:w="20" w:type="nil"/>
            </w:tcMar>
            <w:vAlign w:val="center"/>
          </w:tcPr>
          <w:p w:rsidR="008C7F7C" w:rsidRPr="008C7F7C" w:rsidRDefault="008C7F7C">
            <w:pPr>
              <w:widowControl w:val="0"/>
              <w:autoSpaceDE w:val="0"/>
              <w:autoSpaceDN w:val="0"/>
              <w:adjustRightInd w:val="0"/>
              <w:jc w:val="center"/>
              <w:rPr>
                <w:rFonts w:ascii="Times New Roman" w:hAnsi="Times New Roman" w:cs="Times New Roman"/>
                <w:b/>
                <w:bCs/>
                <w:kern w:val="1"/>
              </w:rPr>
            </w:pPr>
          </w:p>
        </w:tc>
      </w:tr>
      <w:tr w:rsidR="008C7F7C" w:rsidRPr="008C7F7C">
        <w:tblPrEx>
          <w:tblCellMar>
            <w:top w:w="0" w:type="dxa"/>
            <w:bottom w:w="0" w:type="dxa"/>
          </w:tblCellMar>
        </w:tblPrEx>
        <w:tc>
          <w:tcPr>
            <w:tcW w:w="10920" w:type="dxa"/>
            <w:tcMar>
              <w:top w:w="20" w:type="nil"/>
              <w:left w:w="20" w:type="nil"/>
              <w:bottom w:w="20" w:type="nil"/>
              <w:right w:w="20" w:type="nil"/>
            </w:tcMar>
            <w:vAlign w:val="center"/>
          </w:tcPr>
          <w:p w:rsidR="008C7F7C" w:rsidRPr="008C7F7C" w:rsidRDefault="008C7F7C">
            <w:pPr>
              <w:widowControl w:val="0"/>
              <w:autoSpaceDE w:val="0"/>
              <w:autoSpaceDN w:val="0"/>
              <w:adjustRightInd w:val="0"/>
              <w:jc w:val="center"/>
              <w:rPr>
                <w:rFonts w:ascii="Times New Roman" w:hAnsi="Times New Roman" w:cs="Times New Roman"/>
                <w:b/>
                <w:bCs/>
                <w:kern w:val="1"/>
              </w:rPr>
            </w:pPr>
            <w:r w:rsidRPr="008C7F7C">
              <w:rPr>
                <w:rFonts w:ascii="Times New Roman" w:hAnsi="Times New Roman" w:cs="Times New Roman"/>
                <w:b/>
                <w:bCs/>
                <w:kern w:val="1"/>
              </w:rPr>
              <w:t> </w:t>
            </w:r>
          </w:p>
        </w:tc>
        <w:tc>
          <w:tcPr>
            <w:tcW w:w="120" w:type="dxa"/>
            <w:tcMar>
              <w:top w:w="20" w:type="nil"/>
              <w:left w:w="20" w:type="nil"/>
              <w:bottom w:w="20" w:type="nil"/>
              <w:right w:w="20" w:type="nil"/>
            </w:tcMar>
            <w:vAlign w:val="center"/>
          </w:tcPr>
          <w:p w:rsidR="008C7F7C" w:rsidRPr="008C7F7C" w:rsidRDefault="008C7F7C">
            <w:pPr>
              <w:widowControl w:val="0"/>
              <w:autoSpaceDE w:val="0"/>
              <w:autoSpaceDN w:val="0"/>
              <w:adjustRightInd w:val="0"/>
              <w:jc w:val="center"/>
              <w:rPr>
                <w:rFonts w:ascii="Times New Roman" w:hAnsi="Times New Roman" w:cs="Times New Roman"/>
                <w:b/>
                <w:bCs/>
                <w:kern w:val="1"/>
              </w:rPr>
            </w:pPr>
          </w:p>
        </w:tc>
        <w:tc>
          <w:tcPr>
            <w:tcW w:w="12060" w:type="dxa"/>
            <w:tcMar>
              <w:top w:w="20" w:type="nil"/>
              <w:left w:w="20" w:type="nil"/>
              <w:bottom w:w="20" w:type="nil"/>
              <w:right w:w="20" w:type="nil"/>
            </w:tcMar>
            <w:vAlign w:val="center"/>
          </w:tcPr>
          <w:p w:rsidR="008C7F7C" w:rsidRPr="008C7F7C" w:rsidRDefault="008C7F7C">
            <w:pPr>
              <w:widowControl w:val="0"/>
              <w:autoSpaceDE w:val="0"/>
              <w:autoSpaceDN w:val="0"/>
              <w:adjustRightInd w:val="0"/>
              <w:jc w:val="center"/>
              <w:rPr>
                <w:rFonts w:ascii="Times New Roman" w:hAnsi="Times New Roman" w:cs="Times New Roman"/>
                <w:b/>
                <w:bCs/>
                <w:kern w:val="1"/>
              </w:rPr>
            </w:pPr>
          </w:p>
        </w:tc>
      </w:tr>
    </w:tbl>
    <w:p w:rsidR="008C7F7C" w:rsidRPr="008C7F7C" w:rsidRDefault="008C7F7C" w:rsidP="008C7F7C">
      <w:pPr>
        <w:widowControl w:val="0"/>
        <w:autoSpaceDE w:val="0"/>
        <w:autoSpaceDN w:val="0"/>
        <w:adjustRightInd w:val="0"/>
        <w:jc w:val="center"/>
        <w:rPr>
          <w:rFonts w:ascii="Garamond" w:hAnsi="Garamond" w:cs="Garamond"/>
          <w:kern w:val="1"/>
        </w:rPr>
      </w:pPr>
      <w:r w:rsidRPr="008C7F7C">
        <w:rPr>
          <w:rFonts w:ascii="Garamond" w:hAnsi="Garamond" w:cs="Garamond"/>
          <w:kern w:val="1"/>
        </w:rPr>
        <w:t>DEPOSITATA IN SEGRETERIA</w:t>
      </w:r>
    </w:p>
    <w:p w:rsidR="008C7F7C" w:rsidRPr="008C7F7C" w:rsidRDefault="008C7F7C" w:rsidP="008C7F7C">
      <w:pPr>
        <w:widowControl w:val="0"/>
        <w:autoSpaceDE w:val="0"/>
        <w:autoSpaceDN w:val="0"/>
        <w:adjustRightInd w:val="0"/>
        <w:jc w:val="center"/>
        <w:rPr>
          <w:rFonts w:ascii="Garamond" w:hAnsi="Garamond" w:cs="Garamond"/>
          <w:kern w:val="1"/>
        </w:rPr>
      </w:pPr>
      <w:proofErr w:type="gramStart"/>
      <w:r w:rsidRPr="008C7F7C">
        <w:rPr>
          <w:rFonts w:ascii="Garamond" w:hAnsi="Garamond" w:cs="Garamond"/>
          <w:kern w:val="1"/>
        </w:rPr>
        <w:t>Il</w:t>
      </w:r>
      <w:proofErr w:type="gramEnd"/>
      <w:r w:rsidRPr="008C7F7C">
        <w:rPr>
          <w:rFonts w:ascii="Garamond" w:hAnsi="Garamond" w:cs="Garamond"/>
          <w:kern w:val="1"/>
        </w:rPr>
        <w:t xml:space="preserve"> 09/06/2014</w:t>
      </w:r>
    </w:p>
    <w:p w:rsidR="008C7F7C" w:rsidRPr="008C7F7C" w:rsidRDefault="008C7F7C" w:rsidP="008C7F7C">
      <w:pPr>
        <w:widowControl w:val="0"/>
        <w:autoSpaceDE w:val="0"/>
        <w:autoSpaceDN w:val="0"/>
        <w:adjustRightInd w:val="0"/>
        <w:jc w:val="center"/>
        <w:rPr>
          <w:rFonts w:ascii="Garamond" w:hAnsi="Garamond" w:cs="Garamond"/>
          <w:kern w:val="1"/>
        </w:rPr>
      </w:pPr>
      <w:r w:rsidRPr="008C7F7C">
        <w:rPr>
          <w:rFonts w:ascii="Garamond" w:hAnsi="Garamond" w:cs="Garamond"/>
          <w:kern w:val="1"/>
        </w:rPr>
        <w:t>IL SEGRETARIO</w:t>
      </w:r>
    </w:p>
    <w:p w:rsidR="008C7F7C" w:rsidRPr="008C7F7C" w:rsidRDefault="008C7F7C" w:rsidP="008C7F7C">
      <w:pPr>
        <w:widowControl w:val="0"/>
        <w:autoSpaceDE w:val="0"/>
        <w:autoSpaceDN w:val="0"/>
        <w:adjustRightInd w:val="0"/>
        <w:jc w:val="center"/>
        <w:rPr>
          <w:rFonts w:ascii="Garamond" w:hAnsi="Garamond" w:cs="Garamond"/>
          <w:kern w:val="1"/>
        </w:rPr>
      </w:pPr>
      <w:proofErr w:type="gramStart"/>
      <w:r w:rsidRPr="008C7F7C">
        <w:rPr>
          <w:rFonts w:ascii="Garamond" w:hAnsi="Garamond" w:cs="Garamond"/>
          <w:kern w:val="1"/>
        </w:rPr>
        <w:t>(</w:t>
      </w:r>
      <w:proofErr w:type="gramEnd"/>
      <w:r w:rsidRPr="008C7F7C">
        <w:rPr>
          <w:rFonts w:ascii="Garamond" w:hAnsi="Garamond" w:cs="Garamond"/>
          <w:kern w:val="1"/>
        </w:rPr>
        <w:t xml:space="preserve">Art. 89, co. 3, </w:t>
      </w:r>
      <w:proofErr w:type="gramStart"/>
      <w:r w:rsidRPr="008C7F7C">
        <w:rPr>
          <w:rFonts w:ascii="Garamond" w:hAnsi="Garamond" w:cs="Garamond"/>
          <w:kern w:val="1"/>
        </w:rPr>
        <w:t>cod.</w:t>
      </w:r>
      <w:proofErr w:type="gramEnd"/>
      <w:r w:rsidRPr="008C7F7C">
        <w:rPr>
          <w:rFonts w:ascii="Garamond" w:hAnsi="Garamond" w:cs="Garamond"/>
          <w:kern w:val="1"/>
        </w:rPr>
        <w:t xml:space="preserve"> </w:t>
      </w:r>
      <w:proofErr w:type="spellStart"/>
      <w:r w:rsidRPr="008C7F7C">
        <w:rPr>
          <w:rFonts w:ascii="Garamond" w:hAnsi="Garamond" w:cs="Garamond"/>
          <w:kern w:val="1"/>
        </w:rPr>
        <w:t>proc</w:t>
      </w:r>
      <w:proofErr w:type="spellEnd"/>
      <w:r w:rsidRPr="008C7F7C">
        <w:rPr>
          <w:rFonts w:ascii="Garamond" w:hAnsi="Garamond" w:cs="Garamond"/>
          <w:kern w:val="1"/>
        </w:rPr>
        <w:t xml:space="preserve">. </w:t>
      </w:r>
      <w:proofErr w:type="spellStart"/>
      <w:r w:rsidRPr="008C7F7C">
        <w:rPr>
          <w:rFonts w:ascii="Garamond" w:hAnsi="Garamond" w:cs="Garamond"/>
          <w:kern w:val="1"/>
        </w:rPr>
        <w:t>amm</w:t>
      </w:r>
      <w:proofErr w:type="spellEnd"/>
      <w:r w:rsidRPr="008C7F7C">
        <w:rPr>
          <w:rFonts w:ascii="Garamond" w:hAnsi="Garamond" w:cs="Garamond"/>
          <w:kern w:val="1"/>
        </w:rPr>
        <w:t>.)</w:t>
      </w:r>
    </w:p>
    <w:p w:rsidR="008C7F7C" w:rsidRPr="008C7F7C" w:rsidRDefault="008C7F7C" w:rsidP="008C7F7C">
      <w:pPr>
        <w:widowControl w:val="0"/>
        <w:autoSpaceDE w:val="0"/>
        <w:autoSpaceDN w:val="0"/>
        <w:adjustRightInd w:val="0"/>
        <w:rPr>
          <w:rFonts w:ascii="Times" w:hAnsi="Times" w:cs="Times"/>
          <w:kern w:val="1"/>
        </w:rPr>
      </w:pPr>
    </w:p>
    <w:p w:rsidR="00BD5767" w:rsidRPr="008C7F7C" w:rsidRDefault="00BD5767"/>
    <w:sectPr w:rsidR="00BD5767" w:rsidRPr="008C7F7C" w:rsidSect="003007ED">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F7C"/>
    <w:rsid w:val="00721FCA"/>
    <w:rsid w:val="008C7F7C"/>
    <w:rsid w:val="00BD576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762F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C7F7C"/>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8C7F7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C7F7C"/>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8C7F7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1766</Words>
  <Characters>10067</Characters>
  <Application>Microsoft Macintosh Word</Application>
  <DocSecurity>0</DocSecurity>
  <Lines>83</Lines>
  <Paragraphs>23</Paragraphs>
  <ScaleCrop>false</ScaleCrop>
  <Company/>
  <LinksUpToDate>false</LinksUpToDate>
  <CharactersWithSpaces>11810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salerno</dc:creator>
  <cp:keywords/>
  <dc:description/>
  <cp:lastModifiedBy>giovanni salerno</cp:lastModifiedBy>
  <cp:revision>1</cp:revision>
  <dcterms:created xsi:type="dcterms:W3CDTF">2014-06-25T21:12:00Z</dcterms:created>
  <dcterms:modified xsi:type="dcterms:W3CDTF">2014-06-25T21:15:00Z</dcterms:modified>
</cp:coreProperties>
</file>