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D32" w:rsidRPr="00AE1D32" w:rsidRDefault="00AE1D32" w:rsidP="00AE1D32">
      <w:pPr>
        <w:spacing w:before="100" w:beforeAutospacing="1" w:after="100" w:afterAutospacing="1" w:line="0" w:lineRule="atLeast"/>
        <w:jc w:val="right"/>
        <w:rPr>
          <w:rFonts w:ascii="Times Nordic" w:eastAsia="Times New Roman" w:hAnsi="Times Nordic" w:cs="Times New Roman"/>
          <w:b/>
          <w:bCs/>
          <w:sz w:val="24"/>
          <w:szCs w:val="24"/>
          <w:lang w:val="en-US" w:eastAsia="it-IT"/>
        </w:rPr>
      </w:pPr>
      <w:r w:rsidRPr="00AE1D32">
        <w:rPr>
          <w:rFonts w:ascii="Times Nordic" w:eastAsia="Times New Roman" w:hAnsi="Times Nordic" w:cs="Times New Roman"/>
          <w:b/>
          <w:bCs/>
          <w:sz w:val="24"/>
          <w:szCs w:val="24"/>
          <w:lang w:val="en-US" w:eastAsia="it-IT"/>
        </w:rPr>
        <w:t>N. 01551/2013 REG.PROV.COLL.</w:t>
      </w:r>
    </w:p>
    <w:p w:rsidR="00AE1D32" w:rsidRPr="00AE1D32" w:rsidRDefault="00AE1D32" w:rsidP="00AE1D32">
      <w:pPr>
        <w:spacing w:before="100" w:beforeAutospacing="1" w:after="100" w:afterAutospacing="1" w:line="0" w:lineRule="atLeast"/>
        <w:jc w:val="right"/>
        <w:rPr>
          <w:rFonts w:ascii="Times Nordic" w:eastAsia="Times New Roman" w:hAnsi="Times Nordic" w:cs="Times New Roman"/>
          <w:b/>
          <w:bCs/>
          <w:sz w:val="24"/>
          <w:szCs w:val="24"/>
          <w:lang w:val="en-US" w:eastAsia="it-IT"/>
        </w:rPr>
      </w:pPr>
      <w:r w:rsidRPr="00AE1D32">
        <w:rPr>
          <w:rFonts w:ascii="Times Nordic" w:eastAsia="Times New Roman" w:hAnsi="Times Nordic" w:cs="Times New Roman"/>
          <w:b/>
          <w:bCs/>
          <w:sz w:val="24"/>
          <w:szCs w:val="24"/>
          <w:lang w:val="en-US" w:eastAsia="it-IT"/>
        </w:rPr>
        <w:t>N. 01165/2012 REG.RIC.</w:t>
      </w:r>
    </w:p>
    <w:p w:rsidR="00AE1D32" w:rsidRPr="00AE1D32" w:rsidRDefault="00AE1D32" w:rsidP="00AE1D32">
      <w:pPr>
        <w:spacing w:before="100" w:beforeAutospacing="1" w:after="100" w:afterAutospacing="1" w:line="240" w:lineRule="auto"/>
        <w:jc w:val="center"/>
        <w:rPr>
          <w:rFonts w:ascii="Garamond" w:eastAsia="Times New Roman" w:hAnsi="Garamond" w:cs="Times New Roman"/>
          <w:b/>
          <w:bCs/>
          <w:color w:val="000000"/>
          <w:spacing w:val="150"/>
          <w:sz w:val="24"/>
          <w:szCs w:val="24"/>
          <w:lang w:eastAsia="it-IT"/>
        </w:rPr>
      </w:pPr>
      <w:r w:rsidRPr="00AE1D32">
        <w:rPr>
          <w:rFonts w:ascii="Garamond" w:eastAsia="Times New Roman" w:hAnsi="Garamond" w:cs="Times New Roman"/>
          <w:b/>
          <w:bCs/>
          <w:noProof/>
          <w:color w:val="000000"/>
          <w:spacing w:val="150"/>
          <w:sz w:val="24"/>
          <w:szCs w:val="24"/>
          <w:lang w:eastAsia="it-IT"/>
        </w:rPr>
        <w:drawing>
          <wp:inline distT="0" distB="0" distL="0" distR="0">
            <wp:extent cx="723900" cy="828675"/>
            <wp:effectExtent l="19050" t="0" r="0" b="0"/>
            <wp:docPr id="1" name="Immagine 1" descr="http://www.giustizia-amministrativa.it/DocumentiGA/Palermo/Sezione%203/2012/201201165/Provvedimenti/stem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iustizia-amministrativa.it/DocumentiGA/Palermo/Sezione%203/2012/201201165/Provvedimenti/stemma.jpg"/>
                    <pic:cNvPicPr>
                      <a:picLocks noChangeAspect="1" noChangeArrowheads="1"/>
                    </pic:cNvPicPr>
                  </pic:nvPicPr>
                  <pic:blipFill>
                    <a:blip r:embed="rId6" cstate="print"/>
                    <a:srcRect/>
                    <a:stretch>
                      <a:fillRect/>
                    </a:stretch>
                  </pic:blipFill>
                  <pic:spPr bwMode="auto">
                    <a:xfrm>
                      <a:off x="0" y="0"/>
                      <a:ext cx="723900" cy="828675"/>
                    </a:xfrm>
                    <a:prstGeom prst="rect">
                      <a:avLst/>
                    </a:prstGeom>
                    <a:noFill/>
                    <a:ln w="9525">
                      <a:noFill/>
                      <a:miter lim="800000"/>
                      <a:headEnd/>
                      <a:tailEnd/>
                    </a:ln>
                  </pic:spPr>
                </pic:pic>
              </a:graphicData>
            </a:graphic>
          </wp:inline>
        </w:drawing>
      </w:r>
    </w:p>
    <w:p w:rsidR="00AE1D32" w:rsidRPr="00AE1D32" w:rsidRDefault="00AE1D32" w:rsidP="00AE1D32">
      <w:pPr>
        <w:spacing w:before="100" w:beforeAutospacing="1" w:after="100" w:afterAutospacing="1" w:line="240" w:lineRule="auto"/>
        <w:jc w:val="center"/>
        <w:rPr>
          <w:rFonts w:ascii="Garamond" w:eastAsia="Times New Roman" w:hAnsi="Garamond" w:cs="Times New Roman"/>
          <w:b/>
          <w:bCs/>
          <w:color w:val="000000"/>
          <w:spacing w:val="150"/>
          <w:sz w:val="24"/>
          <w:szCs w:val="24"/>
          <w:lang w:eastAsia="it-IT"/>
        </w:rPr>
      </w:pPr>
      <w:r w:rsidRPr="00AE1D32">
        <w:rPr>
          <w:rFonts w:ascii="Garamond" w:eastAsia="Times New Roman" w:hAnsi="Garamond" w:cs="Times New Roman"/>
          <w:b/>
          <w:bCs/>
          <w:color w:val="000000"/>
          <w:spacing w:val="150"/>
          <w:sz w:val="24"/>
          <w:szCs w:val="24"/>
          <w:lang w:eastAsia="it-IT"/>
        </w:rPr>
        <w:t>REPUBBLICA ITALIANA</w:t>
      </w:r>
    </w:p>
    <w:p w:rsidR="00AE1D32" w:rsidRPr="00AE1D32" w:rsidRDefault="00AE1D32" w:rsidP="00AE1D32">
      <w:pPr>
        <w:spacing w:before="100" w:beforeAutospacing="1" w:after="100" w:afterAutospacing="1" w:line="240" w:lineRule="auto"/>
        <w:jc w:val="center"/>
        <w:rPr>
          <w:rFonts w:ascii="Garamond" w:eastAsia="Times New Roman" w:hAnsi="Garamond" w:cs="Times New Roman"/>
          <w:b/>
          <w:bCs/>
          <w:color w:val="000000"/>
          <w:sz w:val="24"/>
          <w:szCs w:val="24"/>
          <w:lang w:eastAsia="it-IT"/>
        </w:rPr>
      </w:pPr>
      <w:r w:rsidRPr="00AE1D32">
        <w:rPr>
          <w:rFonts w:ascii="Garamond" w:eastAsia="Times New Roman" w:hAnsi="Garamond" w:cs="Times New Roman"/>
          <w:b/>
          <w:bCs/>
          <w:color w:val="000000"/>
          <w:sz w:val="24"/>
          <w:szCs w:val="24"/>
          <w:lang w:eastAsia="it-IT"/>
        </w:rPr>
        <w:t>IN NOME DEL POPOLO ITALIANO</w:t>
      </w:r>
    </w:p>
    <w:p w:rsidR="00AE1D32" w:rsidRPr="00AE1D32" w:rsidRDefault="00AE1D32" w:rsidP="00AE1D32">
      <w:pPr>
        <w:spacing w:before="100" w:beforeAutospacing="1" w:after="100" w:afterAutospacing="1" w:line="240" w:lineRule="auto"/>
        <w:jc w:val="center"/>
        <w:rPr>
          <w:rFonts w:ascii="Garamond" w:eastAsia="Times New Roman" w:hAnsi="Garamond" w:cs="Times New Roman"/>
          <w:b/>
          <w:bCs/>
          <w:color w:val="000000"/>
          <w:sz w:val="24"/>
          <w:szCs w:val="24"/>
          <w:lang w:eastAsia="it-IT"/>
        </w:rPr>
      </w:pPr>
      <w:r w:rsidRPr="00AE1D32">
        <w:rPr>
          <w:rFonts w:ascii="Garamond" w:eastAsia="Times New Roman" w:hAnsi="Garamond" w:cs="Times New Roman"/>
          <w:b/>
          <w:bCs/>
          <w:color w:val="000000"/>
          <w:sz w:val="24"/>
          <w:szCs w:val="24"/>
          <w:lang w:eastAsia="it-IT"/>
        </w:rPr>
        <w:t>Il Tribunale Amministrativo Regionale per la Sicilia</w:t>
      </w:r>
    </w:p>
    <w:p w:rsidR="00AE1D32" w:rsidRPr="00AE1D32" w:rsidRDefault="00AE1D32" w:rsidP="00AE1D32">
      <w:pPr>
        <w:spacing w:before="100" w:beforeAutospacing="1" w:after="100" w:afterAutospacing="1" w:line="240" w:lineRule="auto"/>
        <w:jc w:val="center"/>
        <w:rPr>
          <w:rFonts w:ascii="Garamond" w:eastAsia="Times New Roman" w:hAnsi="Garamond" w:cs="Times New Roman"/>
          <w:b/>
          <w:bCs/>
          <w:color w:val="000000"/>
          <w:sz w:val="24"/>
          <w:szCs w:val="24"/>
          <w:lang w:eastAsia="it-IT"/>
        </w:rPr>
      </w:pPr>
      <w:r w:rsidRPr="00AE1D32">
        <w:rPr>
          <w:rFonts w:ascii="Garamond" w:eastAsia="Times New Roman" w:hAnsi="Garamond" w:cs="Times New Roman"/>
          <w:b/>
          <w:bCs/>
          <w:color w:val="000000"/>
          <w:sz w:val="24"/>
          <w:szCs w:val="24"/>
          <w:lang w:eastAsia="it-IT"/>
        </w:rPr>
        <w:t>(Sezione Terza)</w:t>
      </w:r>
    </w:p>
    <w:p w:rsidR="00AE1D32" w:rsidRPr="00AE1D32" w:rsidRDefault="00AE1D32" w:rsidP="00AE1D32">
      <w:pPr>
        <w:spacing w:after="0" w:line="520" w:lineRule="atLeast"/>
        <w:ind w:firstLine="567"/>
        <w:rPr>
          <w:rFonts w:ascii="Garamond" w:eastAsia="Times New Roman" w:hAnsi="Garamond" w:cs="Times New Roman"/>
          <w:sz w:val="24"/>
          <w:szCs w:val="24"/>
          <w:lang w:eastAsia="it-IT"/>
        </w:rPr>
      </w:pPr>
      <w:r w:rsidRPr="00AE1D32">
        <w:rPr>
          <w:rFonts w:ascii="Garamond" w:eastAsia="Times New Roman" w:hAnsi="Garamond" w:cs="Times New Roman"/>
          <w:sz w:val="24"/>
          <w:szCs w:val="24"/>
          <w:lang w:eastAsia="it-IT"/>
        </w:rPr>
        <w:t>ha pronunciato la presente</w:t>
      </w:r>
    </w:p>
    <w:p w:rsidR="00AE1D32" w:rsidRPr="00AE1D32" w:rsidRDefault="00AE1D32" w:rsidP="00AE1D32">
      <w:pPr>
        <w:spacing w:before="100" w:beforeAutospacing="1" w:after="100" w:afterAutospacing="1" w:line="240" w:lineRule="auto"/>
        <w:jc w:val="center"/>
        <w:rPr>
          <w:rFonts w:ascii="Garamond" w:eastAsia="Times New Roman" w:hAnsi="Garamond" w:cs="Times New Roman"/>
          <w:b/>
          <w:bCs/>
          <w:color w:val="000000"/>
          <w:sz w:val="24"/>
          <w:szCs w:val="24"/>
          <w:lang w:eastAsia="it-IT"/>
        </w:rPr>
      </w:pPr>
      <w:r w:rsidRPr="00AE1D32">
        <w:rPr>
          <w:rFonts w:ascii="Garamond" w:eastAsia="Times New Roman" w:hAnsi="Garamond" w:cs="Times New Roman"/>
          <w:b/>
          <w:bCs/>
          <w:color w:val="000000"/>
          <w:sz w:val="24"/>
          <w:szCs w:val="24"/>
          <w:lang w:eastAsia="it-IT"/>
        </w:rPr>
        <w:t>SENTENZA</w:t>
      </w:r>
    </w:p>
    <w:p w:rsidR="00AE1D32" w:rsidRPr="00AE1D32" w:rsidRDefault="00AE1D32" w:rsidP="00AE1D32">
      <w:pPr>
        <w:spacing w:after="0" w:line="520" w:lineRule="atLeast"/>
        <w:jc w:val="both"/>
        <w:rPr>
          <w:rFonts w:ascii="Garamond" w:eastAsia="Times New Roman" w:hAnsi="Garamond" w:cs="Times New Roman"/>
          <w:sz w:val="24"/>
          <w:szCs w:val="24"/>
          <w:lang w:eastAsia="it-IT"/>
        </w:rPr>
      </w:pPr>
      <w:r w:rsidRPr="00AE1D32">
        <w:rPr>
          <w:rFonts w:ascii="Garamond" w:eastAsia="Times New Roman" w:hAnsi="Garamond" w:cs="Times New Roman"/>
          <w:sz w:val="24"/>
          <w:szCs w:val="24"/>
          <w:lang w:eastAsia="it-IT"/>
        </w:rPr>
        <w:t xml:space="preserve">sul ricorso numero di registro generale n. 1165 del 2012, integrato da motivi aggiunti, proposto da Francesca </w:t>
      </w:r>
      <w:proofErr w:type="spellStart"/>
      <w:r w:rsidRPr="00AE1D32">
        <w:rPr>
          <w:rFonts w:ascii="Garamond" w:eastAsia="Times New Roman" w:hAnsi="Garamond" w:cs="Times New Roman"/>
          <w:sz w:val="24"/>
          <w:szCs w:val="24"/>
          <w:lang w:eastAsia="it-IT"/>
        </w:rPr>
        <w:t>Mandalà</w:t>
      </w:r>
      <w:proofErr w:type="spellEnd"/>
      <w:r w:rsidRPr="00AE1D32">
        <w:rPr>
          <w:rFonts w:ascii="Garamond" w:eastAsia="Times New Roman" w:hAnsi="Garamond" w:cs="Times New Roman"/>
          <w:sz w:val="24"/>
          <w:szCs w:val="24"/>
          <w:lang w:eastAsia="it-IT"/>
        </w:rPr>
        <w:t xml:space="preserve">, titolare dell’omonima Farmacia, rappresentata e difesa, congiuntamente e disgiuntamente, dal Prof. Avv. Salvatore </w:t>
      </w:r>
      <w:proofErr w:type="spellStart"/>
      <w:r w:rsidRPr="00AE1D32">
        <w:rPr>
          <w:rFonts w:ascii="Garamond" w:eastAsia="Times New Roman" w:hAnsi="Garamond" w:cs="Times New Roman"/>
          <w:sz w:val="24"/>
          <w:szCs w:val="24"/>
          <w:lang w:eastAsia="it-IT"/>
        </w:rPr>
        <w:t>Pensabene</w:t>
      </w:r>
      <w:proofErr w:type="spellEnd"/>
      <w:r w:rsidRPr="00AE1D32">
        <w:rPr>
          <w:rFonts w:ascii="Garamond" w:eastAsia="Times New Roman" w:hAnsi="Garamond" w:cs="Times New Roman"/>
          <w:sz w:val="24"/>
          <w:szCs w:val="24"/>
          <w:lang w:eastAsia="it-IT"/>
        </w:rPr>
        <w:t xml:space="preserve"> </w:t>
      </w:r>
      <w:proofErr w:type="spellStart"/>
      <w:r w:rsidRPr="00AE1D32">
        <w:rPr>
          <w:rFonts w:ascii="Garamond" w:eastAsia="Times New Roman" w:hAnsi="Garamond" w:cs="Times New Roman"/>
          <w:sz w:val="24"/>
          <w:szCs w:val="24"/>
          <w:lang w:eastAsia="it-IT"/>
        </w:rPr>
        <w:t>Lionti</w:t>
      </w:r>
      <w:proofErr w:type="spellEnd"/>
      <w:r w:rsidRPr="00AE1D32">
        <w:rPr>
          <w:rFonts w:ascii="Garamond" w:eastAsia="Times New Roman" w:hAnsi="Garamond" w:cs="Times New Roman"/>
          <w:sz w:val="24"/>
          <w:szCs w:val="24"/>
          <w:lang w:eastAsia="it-IT"/>
        </w:rPr>
        <w:t xml:space="preserve"> e dall’Avv. Tommaso </w:t>
      </w:r>
      <w:proofErr w:type="spellStart"/>
      <w:r w:rsidRPr="00AE1D32">
        <w:rPr>
          <w:rFonts w:ascii="Garamond" w:eastAsia="Times New Roman" w:hAnsi="Garamond" w:cs="Times New Roman"/>
          <w:sz w:val="24"/>
          <w:szCs w:val="24"/>
          <w:lang w:eastAsia="it-IT"/>
        </w:rPr>
        <w:t>Pensabene</w:t>
      </w:r>
      <w:proofErr w:type="spellEnd"/>
      <w:r w:rsidRPr="00AE1D32">
        <w:rPr>
          <w:rFonts w:ascii="Garamond" w:eastAsia="Times New Roman" w:hAnsi="Garamond" w:cs="Times New Roman"/>
          <w:sz w:val="24"/>
          <w:szCs w:val="24"/>
          <w:lang w:eastAsia="it-IT"/>
        </w:rPr>
        <w:t xml:space="preserve"> </w:t>
      </w:r>
      <w:proofErr w:type="spellStart"/>
      <w:r w:rsidRPr="00AE1D32">
        <w:rPr>
          <w:rFonts w:ascii="Garamond" w:eastAsia="Times New Roman" w:hAnsi="Garamond" w:cs="Times New Roman"/>
          <w:sz w:val="24"/>
          <w:szCs w:val="24"/>
          <w:lang w:eastAsia="it-IT"/>
        </w:rPr>
        <w:t>Lionti</w:t>
      </w:r>
      <w:proofErr w:type="spellEnd"/>
      <w:r w:rsidRPr="00AE1D32">
        <w:rPr>
          <w:rFonts w:ascii="Garamond" w:eastAsia="Times New Roman" w:hAnsi="Garamond" w:cs="Times New Roman"/>
          <w:sz w:val="24"/>
          <w:szCs w:val="24"/>
          <w:lang w:eastAsia="it-IT"/>
        </w:rPr>
        <w:t>, con domicilio eletto presso lo studio del primo in Palermo, via Giusti, n. 45;</w:t>
      </w:r>
    </w:p>
    <w:p w:rsidR="00AE1D32" w:rsidRPr="00AE1D32" w:rsidRDefault="00AE1D32" w:rsidP="00AE1D32">
      <w:pPr>
        <w:spacing w:after="0" w:line="520" w:lineRule="atLeast"/>
        <w:jc w:val="center"/>
        <w:rPr>
          <w:rFonts w:ascii="Garamond" w:eastAsia="Times New Roman" w:hAnsi="Garamond" w:cs="Times New Roman"/>
          <w:b/>
          <w:bCs/>
          <w:i/>
          <w:iCs/>
          <w:sz w:val="24"/>
          <w:szCs w:val="24"/>
          <w:lang w:eastAsia="it-IT"/>
        </w:rPr>
      </w:pPr>
      <w:r w:rsidRPr="00AE1D32">
        <w:rPr>
          <w:rFonts w:ascii="Garamond" w:eastAsia="Times New Roman" w:hAnsi="Garamond" w:cs="Times New Roman"/>
          <w:b/>
          <w:bCs/>
          <w:i/>
          <w:iCs/>
          <w:sz w:val="24"/>
          <w:szCs w:val="24"/>
          <w:lang w:eastAsia="it-IT"/>
        </w:rPr>
        <w:t>contro</w:t>
      </w:r>
    </w:p>
    <w:p w:rsidR="00AE1D32" w:rsidRPr="00AE1D32" w:rsidRDefault="00AE1D32" w:rsidP="00AE1D32">
      <w:pPr>
        <w:spacing w:after="0" w:line="520" w:lineRule="atLeast"/>
        <w:jc w:val="both"/>
        <w:rPr>
          <w:rFonts w:ascii="Garamond" w:eastAsia="Times New Roman" w:hAnsi="Garamond" w:cs="Times New Roman"/>
          <w:sz w:val="24"/>
          <w:szCs w:val="24"/>
          <w:lang w:eastAsia="it-IT"/>
        </w:rPr>
      </w:pPr>
      <w:r w:rsidRPr="00AE1D32">
        <w:rPr>
          <w:rFonts w:ascii="Garamond" w:eastAsia="Times New Roman" w:hAnsi="Garamond" w:cs="Times New Roman"/>
          <w:sz w:val="24"/>
          <w:szCs w:val="24"/>
          <w:lang w:eastAsia="it-IT"/>
        </w:rPr>
        <w:t xml:space="preserve">- il Comune di Palermo, in persona del Sindaco </w:t>
      </w:r>
      <w:r w:rsidRPr="00AE1D32">
        <w:rPr>
          <w:rFonts w:ascii="Garamond" w:eastAsia="Times New Roman" w:hAnsi="Garamond" w:cs="Times New Roman"/>
          <w:i/>
          <w:iCs/>
          <w:sz w:val="24"/>
          <w:szCs w:val="24"/>
          <w:lang w:eastAsia="it-IT"/>
        </w:rPr>
        <w:t>pro tempore</w:t>
      </w:r>
      <w:r w:rsidRPr="00AE1D32">
        <w:rPr>
          <w:rFonts w:ascii="Garamond" w:eastAsia="Times New Roman" w:hAnsi="Garamond" w:cs="Times New Roman"/>
          <w:sz w:val="24"/>
          <w:szCs w:val="24"/>
          <w:lang w:eastAsia="it-IT"/>
        </w:rPr>
        <w:t xml:space="preserve">, rappresentato e difeso dall’Avv. Angela </w:t>
      </w:r>
      <w:proofErr w:type="spellStart"/>
      <w:r w:rsidRPr="00AE1D32">
        <w:rPr>
          <w:rFonts w:ascii="Garamond" w:eastAsia="Times New Roman" w:hAnsi="Garamond" w:cs="Times New Roman"/>
          <w:sz w:val="24"/>
          <w:szCs w:val="24"/>
          <w:lang w:eastAsia="it-IT"/>
        </w:rPr>
        <w:t>Provenzani</w:t>
      </w:r>
      <w:proofErr w:type="spellEnd"/>
      <w:r w:rsidRPr="00AE1D32">
        <w:rPr>
          <w:rFonts w:ascii="Garamond" w:eastAsia="Times New Roman" w:hAnsi="Garamond" w:cs="Times New Roman"/>
          <w:sz w:val="24"/>
          <w:szCs w:val="24"/>
          <w:lang w:eastAsia="it-IT"/>
        </w:rPr>
        <w:t>, con domicilio eletto presso l’Avvocatura comunale in Palermo, piazza Marina n. 39;</w:t>
      </w:r>
      <w:r w:rsidRPr="00AE1D32">
        <w:rPr>
          <w:rFonts w:ascii="Garamond" w:eastAsia="Times New Roman" w:hAnsi="Garamond" w:cs="Times New Roman"/>
          <w:sz w:val="24"/>
          <w:szCs w:val="24"/>
          <w:lang w:eastAsia="it-IT"/>
        </w:rPr>
        <w:br/>
        <w:t xml:space="preserve">- l’Assessorato della salute della Regione Siciliana, in persona dell’Assessore </w:t>
      </w:r>
      <w:r w:rsidRPr="00AE1D32">
        <w:rPr>
          <w:rFonts w:ascii="Garamond" w:eastAsia="Times New Roman" w:hAnsi="Garamond" w:cs="Times New Roman"/>
          <w:i/>
          <w:iCs/>
          <w:sz w:val="24"/>
          <w:szCs w:val="24"/>
          <w:lang w:eastAsia="it-IT"/>
        </w:rPr>
        <w:t>pro tempore</w:t>
      </w:r>
      <w:r w:rsidRPr="00AE1D32">
        <w:rPr>
          <w:rFonts w:ascii="Garamond" w:eastAsia="Times New Roman" w:hAnsi="Garamond" w:cs="Times New Roman"/>
          <w:sz w:val="24"/>
          <w:szCs w:val="24"/>
          <w:lang w:eastAsia="it-IT"/>
        </w:rPr>
        <w:t>, rappresentato e difeso dall’Avvocatura distrettuale dello Stato presso i cui uffici è domiciliato per legge in Palermo, via Alcide De Gasperi, n. 81;</w:t>
      </w:r>
    </w:p>
    <w:p w:rsidR="00AE1D32" w:rsidRPr="00AE1D32" w:rsidRDefault="00AE1D32" w:rsidP="00AE1D32">
      <w:pPr>
        <w:spacing w:after="0" w:line="520" w:lineRule="atLeast"/>
        <w:jc w:val="center"/>
        <w:rPr>
          <w:rFonts w:ascii="Garamond" w:eastAsia="Times New Roman" w:hAnsi="Garamond" w:cs="Times New Roman"/>
          <w:b/>
          <w:bCs/>
          <w:i/>
          <w:iCs/>
          <w:sz w:val="24"/>
          <w:szCs w:val="24"/>
          <w:lang w:eastAsia="it-IT"/>
        </w:rPr>
      </w:pPr>
      <w:r w:rsidRPr="00AE1D32">
        <w:rPr>
          <w:rFonts w:ascii="Garamond" w:eastAsia="Times New Roman" w:hAnsi="Garamond" w:cs="Times New Roman"/>
          <w:b/>
          <w:bCs/>
          <w:i/>
          <w:iCs/>
          <w:sz w:val="24"/>
          <w:szCs w:val="24"/>
          <w:lang w:eastAsia="it-IT"/>
        </w:rPr>
        <w:t>nei confronti di</w:t>
      </w:r>
    </w:p>
    <w:p w:rsidR="00AE1D32" w:rsidRPr="00AE1D32" w:rsidRDefault="00AE1D32" w:rsidP="00AE1D32">
      <w:pPr>
        <w:spacing w:after="0" w:line="520" w:lineRule="atLeast"/>
        <w:jc w:val="both"/>
        <w:rPr>
          <w:rFonts w:ascii="Garamond" w:eastAsia="Times New Roman" w:hAnsi="Garamond" w:cs="Times New Roman"/>
          <w:sz w:val="24"/>
          <w:szCs w:val="24"/>
          <w:lang w:eastAsia="it-IT"/>
        </w:rPr>
      </w:pPr>
      <w:r w:rsidRPr="00AE1D32">
        <w:rPr>
          <w:rFonts w:ascii="Garamond" w:eastAsia="Times New Roman" w:hAnsi="Garamond" w:cs="Times New Roman"/>
          <w:sz w:val="24"/>
          <w:szCs w:val="24"/>
          <w:lang w:eastAsia="it-IT"/>
        </w:rPr>
        <w:t xml:space="preserve">- Orazio </w:t>
      </w:r>
      <w:proofErr w:type="spellStart"/>
      <w:r w:rsidRPr="00AE1D32">
        <w:rPr>
          <w:rFonts w:ascii="Garamond" w:eastAsia="Times New Roman" w:hAnsi="Garamond" w:cs="Times New Roman"/>
          <w:sz w:val="24"/>
          <w:szCs w:val="24"/>
          <w:lang w:eastAsia="it-IT"/>
        </w:rPr>
        <w:t>Listro</w:t>
      </w:r>
      <w:proofErr w:type="spellEnd"/>
      <w:r w:rsidRPr="00AE1D32">
        <w:rPr>
          <w:rFonts w:ascii="Garamond" w:eastAsia="Times New Roman" w:hAnsi="Garamond" w:cs="Times New Roman"/>
          <w:sz w:val="24"/>
          <w:szCs w:val="24"/>
          <w:lang w:eastAsia="it-IT"/>
        </w:rPr>
        <w:t xml:space="preserve">, rappresentato e difeso, congiuntamente e disgiuntamente, dagli Avv.ti Giovanni </w:t>
      </w:r>
      <w:proofErr w:type="spellStart"/>
      <w:r w:rsidRPr="00AE1D32">
        <w:rPr>
          <w:rFonts w:ascii="Garamond" w:eastAsia="Times New Roman" w:hAnsi="Garamond" w:cs="Times New Roman"/>
          <w:sz w:val="24"/>
          <w:szCs w:val="24"/>
          <w:lang w:eastAsia="it-IT"/>
        </w:rPr>
        <w:t>Immordino</w:t>
      </w:r>
      <w:proofErr w:type="spellEnd"/>
      <w:r w:rsidRPr="00AE1D32">
        <w:rPr>
          <w:rFonts w:ascii="Garamond" w:eastAsia="Times New Roman" w:hAnsi="Garamond" w:cs="Times New Roman"/>
          <w:sz w:val="24"/>
          <w:szCs w:val="24"/>
          <w:lang w:eastAsia="it-IT"/>
        </w:rPr>
        <w:t xml:space="preserve">, Giuseppe </w:t>
      </w:r>
      <w:proofErr w:type="spellStart"/>
      <w:r w:rsidRPr="00AE1D32">
        <w:rPr>
          <w:rFonts w:ascii="Garamond" w:eastAsia="Times New Roman" w:hAnsi="Garamond" w:cs="Times New Roman"/>
          <w:sz w:val="24"/>
          <w:szCs w:val="24"/>
          <w:lang w:eastAsia="it-IT"/>
        </w:rPr>
        <w:t>Immordino</w:t>
      </w:r>
      <w:proofErr w:type="spellEnd"/>
      <w:r w:rsidRPr="00AE1D32">
        <w:rPr>
          <w:rFonts w:ascii="Garamond" w:eastAsia="Times New Roman" w:hAnsi="Garamond" w:cs="Times New Roman"/>
          <w:sz w:val="24"/>
          <w:szCs w:val="24"/>
          <w:lang w:eastAsia="it-IT"/>
        </w:rPr>
        <w:t xml:space="preserve"> e Giuseppe </w:t>
      </w:r>
      <w:proofErr w:type="spellStart"/>
      <w:r w:rsidRPr="00AE1D32">
        <w:rPr>
          <w:rFonts w:ascii="Garamond" w:eastAsia="Times New Roman" w:hAnsi="Garamond" w:cs="Times New Roman"/>
          <w:sz w:val="24"/>
          <w:szCs w:val="24"/>
          <w:lang w:eastAsia="it-IT"/>
        </w:rPr>
        <w:t>Nicastro</w:t>
      </w:r>
      <w:proofErr w:type="spellEnd"/>
      <w:r w:rsidRPr="00AE1D32">
        <w:rPr>
          <w:rFonts w:ascii="Garamond" w:eastAsia="Times New Roman" w:hAnsi="Garamond" w:cs="Times New Roman"/>
          <w:sz w:val="24"/>
          <w:szCs w:val="24"/>
          <w:lang w:eastAsia="it-IT"/>
        </w:rPr>
        <w:t>, con domicilio eletto presso il loro studio in Palermo, via Libertà, n. 171;</w:t>
      </w:r>
      <w:r w:rsidRPr="00AE1D32">
        <w:rPr>
          <w:rFonts w:ascii="Garamond" w:eastAsia="Times New Roman" w:hAnsi="Garamond" w:cs="Times New Roman"/>
          <w:sz w:val="24"/>
          <w:szCs w:val="24"/>
          <w:lang w:eastAsia="it-IT"/>
        </w:rPr>
        <w:br/>
        <w:t xml:space="preserve">- Francesco </w:t>
      </w:r>
      <w:proofErr w:type="spellStart"/>
      <w:r w:rsidRPr="00AE1D32">
        <w:rPr>
          <w:rFonts w:ascii="Garamond" w:eastAsia="Times New Roman" w:hAnsi="Garamond" w:cs="Times New Roman"/>
          <w:sz w:val="24"/>
          <w:szCs w:val="24"/>
          <w:lang w:eastAsia="it-IT"/>
        </w:rPr>
        <w:t>Miraglia</w:t>
      </w:r>
      <w:proofErr w:type="spellEnd"/>
      <w:r w:rsidRPr="00AE1D32">
        <w:rPr>
          <w:rFonts w:ascii="Garamond" w:eastAsia="Times New Roman" w:hAnsi="Garamond" w:cs="Times New Roman"/>
          <w:sz w:val="24"/>
          <w:szCs w:val="24"/>
          <w:lang w:eastAsia="it-IT"/>
        </w:rPr>
        <w:t xml:space="preserve">, rappresentato e difeso dall’Avv. Riccardo </w:t>
      </w:r>
      <w:proofErr w:type="spellStart"/>
      <w:r w:rsidRPr="00AE1D32">
        <w:rPr>
          <w:rFonts w:ascii="Garamond" w:eastAsia="Times New Roman" w:hAnsi="Garamond" w:cs="Times New Roman"/>
          <w:sz w:val="24"/>
          <w:szCs w:val="24"/>
          <w:lang w:eastAsia="it-IT"/>
        </w:rPr>
        <w:t>Rotigliano</w:t>
      </w:r>
      <w:proofErr w:type="spellEnd"/>
      <w:r w:rsidRPr="00AE1D32">
        <w:rPr>
          <w:rFonts w:ascii="Garamond" w:eastAsia="Times New Roman" w:hAnsi="Garamond" w:cs="Times New Roman"/>
          <w:sz w:val="24"/>
          <w:szCs w:val="24"/>
          <w:lang w:eastAsia="it-IT"/>
        </w:rPr>
        <w:t>, con domicilio eletto presso il suo studio in Palermo, via N. Morello, n. 20;</w:t>
      </w:r>
    </w:p>
    <w:p w:rsidR="00AE1D32" w:rsidRPr="00AE1D32" w:rsidRDefault="00AE1D32" w:rsidP="00AE1D32">
      <w:pPr>
        <w:spacing w:after="0" w:line="520" w:lineRule="atLeast"/>
        <w:jc w:val="center"/>
        <w:rPr>
          <w:rFonts w:ascii="Garamond" w:eastAsia="Times New Roman" w:hAnsi="Garamond" w:cs="Times New Roman"/>
          <w:b/>
          <w:bCs/>
          <w:i/>
          <w:iCs/>
          <w:sz w:val="24"/>
          <w:szCs w:val="24"/>
          <w:lang w:eastAsia="it-IT"/>
        </w:rPr>
      </w:pPr>
      <w:r w:rsidRPr="00AE1D32">
        <w:rPr>
          <w:rFonts w:ascii="Garamond" w:eastAsia="Times New Roman" w:hAnsi="Garamond" w:cs="Times New Roman"/>
          <w:b/>
          <w:bCs/>
          <w:i/>
          <w:iCs/>
          <w:sz w:val="24"/>
          <w:szCs w:val="24"/>
          <w:lang w:eastAsia="it-IT"/>
        </w:rPr>
        <w:t>per l'annullamento</w:t>
      </w:r>
    </w:p>
    <w:p w:rsidR="00AE1D32" w:rsidRPr="00AE1D32" w:rsidRDefault="00AE1D32" w:rsidP="00AE1D32">
      <w:pPr>
        <w:spacing w:after="0" w:line="520" w:lineRule="atLeast"/>
        <w:jc w:val="both"/>
        <w:rPr>
          <w:rFonts w:ascii="Garamond" w:eastAsia="Times New Roman" w:hAnsi="Garamond" w:cs="Times New Roman"/>
          <w:sz w:val="24"/>
          <w:szCs w:val="24"/>
          <w:lang w:eastAsia="it-IT"/>
        </w:rPr>
      </w:pPr>
      <w:r w:rsidRPr="00AE1D32">
        <w:rPr>
          <w:rFonts w:ascii="Garamond" w:eastAsia="Times New Roman" w:hAnsi="Garamond" w:cs="Times New Roman"/>
          <w:sz w:val="24"/>
          <w:szCs w:val="24"/>
          <w:lang w:eastAsia="it-IT"/>
        </w:rPr>
        <w:t xml:space="preserve">- a) </w:t>
      </w:r>
      <w:r w:rsidRPr="00AE1D32">
        <w:rPr>
          <w:rFonts w:ascii="Garamond" w:eastAsia="Times New Roman" w:hAnsi="Garamond" w:cs="Times New Roman"/>
          <w:i/>
          <w:iCs/>
          <w:sz w:val="24"/>
          <w:szCs w:val="24"/>
          <w:lang w:eastAsia="it-IT"/>
        </w:rPr>
        <w:t>quanto al ricorso introduttivo</w:t>
      </w:r>
      <w:r w:rsidRPr="00AE1D32">
        <w:rPr>
          <w:rFonts w:ascii="Garamond" w:eastAsia="Times New Roman" w:hAnsi="Garamond" w:cs="Times New Roman"/>
          <w:sz w:val="24"/>
          <w:szCs w:val="24"/>
          <w:lang w:eastAsia="it-IT"/>
        </w:rPr>
        <w:t>:</w:t>
      </w:r>
    </w:p>
    <w:p w:rsidR="00AE1D32" w:rsidRPr="00AE1D32" w:rsidRDefault="00AE1D32" w:rsidP="00AE1D32">
      <w:pPr>
        <w:spacing w:after="0" w:line="520" w:lineRule="atLeast"/>
        <w:jc w:val="both"/>
        <w:rPr>
          <w:rFonts w:ascii="Garamond" w:eastAsia="Times New Roman" w:hAnsi="Garamond" w:cs="Times New Roman"/>
          <w:sz w:val="24"/>
          <w:szCs w:val="24"/>
          <w:lang w:eastAsia="it-IT"/>
        </w:rPr>
      </w:pPr>
      <w:r w:rsidRPr="00AE1D32">
        <w:rPr>
          <w:rFonts w:ascii="Garamond" w:eastAsia="Times New Roman" w:hAnsi="Garamond" w:cs="Times New Roman"/>
          <w:sz w:val="24"/>
          <w:szCs w:val="24"/>
          <w:lang w:eastAsia="it-IT"/>
        </w:rPr>
        <w:t xml:space="preserve">- della determinazione commissariale, assunta con i poteri del Sindaco di Palermo, n. 69/DS del 23.04.2012, nella parte in cui individua una nuova sede farmaceutica in via </w:t>
      </w:r>
      <w:proofErr w:type="spellStart"/>
      <w:r w:rsidRPr="00AE1D32">
        <w:rPr>
          <w:rFonts w:ascii="Garamond" w:eastAsia="Times New Roman" w:hAnsi="Garamond" w:cs="Times New Roman"/>
          <w:sz w:val="24"/>
          <w:szCs w:val="24"/>
          <w:lang w:eastAsia="it-IT"/>
        </w:rPr>
        <w:t>Villagrazia</w:t>
      </w:r>
      <w:proofErr w:type="spellEnd"/>
      <w:r w:rsidRPr="00AE1D32">
        <w:rPr>
          <w:rFonts w:ascii="Garamond" w:eastAsia="Times New Roman" w:hAnsi="Garamond" w:cs="Times New Roman"/>
          <w:sz w:val="24"/>
          <w:szCs w:val="24"/>
          <w:lang w:eastAsia="it-IT"/>
        </w:rPr>
        <w:t xml:space="preserve"> (tra viale Regione Siciliana sud - est, via Etna e via </w:t>
      </w:r>
      <w:proofErr w:type="spellStart"/>
      <w:r w:rsidRPr="00AE1D32">
        <w:rPr>
          <w:rFonts w:ascii="Garamond" w:eastAsia="Times New Roman" w:hAnsi="Garamond" w:cs="Times New Roman"/>
          <w:sz w:val="24"/>
          <w:szCs w:val="24"/>
          <w:lang w:eastAsia="it-IT"/>
        </w:rPr>
        <w:t>Agnetta</w:t>
      </w:r>
      <w:proofErr w:type="spellEnd"/>
      <w:r w:rsidRPr="00AE1D32">
        <w:rPr>
          <w:rFonts w:ascii="Garamond" w:eastAsia="Times New Roman" w:hAnsi="Garamond" w:cs="Times New Roman"/>
          <w:sz w:val="24"/>
          <w:szCs w:val="24"/>
          <w:lang w:eastAsia="it-IT"/>
        </w:rPr>
        <w:t>);</w:t>
      </w:r>
    </w:p>
    <w:p w:rsidR="00AE1D32" w:rsidRPr="00AE1D32" w:rsidRDefault="00AE1D32" w:rsidP="00AE1D32">
      <w:pPr>
        <w:spacing w:after="0" w:line="520" w:lineRule="atLeast"/>
        <w:jc w:val="both"/>
        <w:rPr>
          <w:rFonts w:ascii="Garamond" w:eastAsia="Times New Roman" w:hAnsi="Garamond" w:cs="Times New Roman"/>
          <w:sz w:val="24"/>
          <w:szCs w:val="24"/>
          <w:lang w:eastAsia="it-IT"/>
        </w:rPr>
      </w:pPr>
      <w:r w:rsidRPr="00AE1D32">
        <w:rPr>
          <w:rFonts w:ascii="Garamond" w:eastAsia="Times New Roman" w:hAnsi="Garamond" w:cs="Times New Roman"/>
          <w:sz w:val="24"/>
          <w:szCs w:val="24"/>
          <w:lang w:eastAsia="it-IT"/>
        </w:rPr>
        <w:t>- di ogni atto connesso, presupposto o consequenziale, che possa comunque risultare lesivo per la ricorrente;</w:t>
      </w:r>
    </w:p>
    <w:p w:rsidR="00AE1D32" w:rsidRPr="00AE1D32" w:rsidRDefault="00AE1D32" w:rsidP="00AE1D32">
      <w:pPr>
        <w:spacing w:after="0" w:line="520" w:lineRule="atLeast"/>
        <w:jc w:val="both"/>
        <w:rPr>
          <w:rFonts w:ascii="Garamond" w:eastAsia="Times New Roman" w:hAnsi="Garamond" w:cs="Times New Roman"/>
          <w:sz w:val="24"/>
          <w:szCs w:val="24"/>
          <w:lang w:eastAsia="it-IT"/>
        </w:rPr>
      </w:pPr>
      <w:r w:rsidRPr="00AE1D32">
        <w:rPr>
          <w:rFonts w:ascii="Garamond" w:eastAsia="Times New Roman" w:hAnsi="Garamond" w:cs="Times New Roman"/>
          <w:sz w:val="24"/>
          <w:szCs w:val="24"/>
          <w:lang w:eastAsia="it-IT"/>
        </w:rPr>
        <w:t xml:space="preserve">b) </w:t>
      </w:r>
      <w:r w:rsidRPr="00AE1D32">
        <w:rPr>
          <w:rFonts w:ascii="Garamond" w:eastAsia="Times New Roman" w:hAnsi="Garamond" w:cs="Times New Roman"/>
          <w:i/>
          <w:iCs/>
          <w:sz w:val="24"/>
          <w:szCs w:val="24"/>
          <w:lang w:eastAsia="it-IT"/>
        </w:rPr>
        <w:t>quanto al ricorso per motivi aggiunti</w:t>
      </w:r>
      <w:r w:rsidRPr="00AE1D32">
        <w:rPr>
          <w:rFonts w:ascii="Garamond" w:eastAsia="Times New Roman" w:hAnsi="Garamond" w:cs="Times New Roman"/>
          <w:sz w:val="24"/>
          <w:szCs w:val="24"/>
          <w:lang w:eastAsia="it-IT"/>
        </w:rPr>
        <w:t>:</w:t>
      </w:r>
    </w:p>
    <w:p w:rsidR="00AE1D32" w:rsidRPr="00AE1D32" w:rsidRDefault="00AE1D32" w:rsidP="00AE1D32">
      <w:pPr>
        <w:spacing w:after="0" w:line="520" w:lineRule="atLeast"/>
        <w:jc w:val="both"/>
        <w:rPr>
          <w:rFonts w:ascii="Garamond" w:eastAsia="Times New Roman" w:hAnsi="Garamond" w:cs="Times New Roman"/>
          <w:sz w:val="24"/>
          <w:szCs w:val="24"/>
          <w:lang w:eastAsia="it-IT"/>
        </w:rPr>
      </w:pPr>
      <w:r w:rsidRPr="00AE1D32">
        <w:rPr>
          <w:rFonts w:ascii="Garamond" w:eastAsia="Times New Roman" w:hAnsi="Garamond" w:cs="Times New Roman"/>
          <w:sz w:val="24"/>
          <w:szCs w:val="24"/>
          <w:lang w:eastAsia="it-IT"/>
        </w:rPr>
        <w:t xml:space="preserve">- del decreto del 24 dicembre 2012 del Dirigente generale del dipartimento pianificazione strategica dell’Assessorato alla salute della Regione Siciliana con cui è stato approvato il bando di pubblico concorso straordinario per il conferimento di sedi farmaceutiche di nuova istituzione e/o vacanti nella Regione Siciliana, nella parte in cui si mette a concorso la sede farmaceutica di nuova istituzione individuata nell’ambito del Comune di Palermo, nel quartiere </w:t>
      </w:r>
      <w:proofErr w:type="spellStart"/>
      <w:r w:rsidRPr="00AE1D32">
        <w:rPr>
          <w:rFonts w:ascii="Garamond" w:eastAsia="Times New Roman" w:hAnsi="Garamond" w:cs="Times New Roman"/>
          <w:sz w:val="24"/>
          <w:szCs w:val="24"/>
          <w:lang w:eastAsia="it-IT"/>
        </w:rPr>
        <w:t>Villagrazia</w:t>
      </w:r>
      <w:proofErr w:type="spellEnd"/>
      <w:r w:rsidRPr="00AE1D32">
        <w:rPr>
          <w:rFonts w:ascii="Garamond" w:eastAsia="Times New Roman" w:hAnsi="Garamond" w:cs="Times New Roman"/>
          <w:sz w:val="24"/>
          <w:szCs w:val="24"/>
          <w:lang w:eastAsia="it-IT"/>
        </w:rPr>
        <w:t xml:space="preserve"> </w:t>
      </w:r>
      <w:proofErr w:type="spellStart"/>
      <w:r w:rsidRPr="00AE1D32">
        <w:rPr>
          <w:rFonts w:ascii="Garamond" w:eastAsia="Times New Roman" w:hAnsi="Garamond" w:cs="Times New Roman"/>
          <w:sz w:val="24"/>
          <w:szCs w:val="24"/>
          <w:lang w:eastAsia="it-IT"/>
        </w:rPr>
        <w:t>Falsomiele</w:t>
      </w:r>
      <w:proofErr w:type="spellEnd"/>
      <w:r w:rsidRPr="00AE1D32">
        <w:rPr>
          <w:rFonts w:ascii="Garamond" w:eastAsia="Times New Roman" w:hAnsi="Garamond" w:cs="Times New Roman"/>
          <w:sz w:val="24"/>
          <w:szCs w:val="24"/>
          <w:lang w:eastAsia="it-IT"/>
        </w:rPr>
        <w:t xml:space="preserve">, in via </w:t>
      </w:r>
      <w:proofErr w:type="spellStart"/>
      <w:r w:rsidRPr="00AE1D32">
        <w:rPr>
          <w:rFonts w:ascii="Garamond" w:eastAsia="Times New Roman" w:hAnsi="Garamond" w:cs="Times New Roman"/>
          <w:sz w:val="24"/>
          <w:szCs w:val="24"/>
          <w:lang w:eastAsia="it-IT"/>
        </w:rPr>
        <w:t>Villagrazia</w:t>
      </w:r>
      <w:proofErr w:type="spellEnd"/>
      <w:r w:rsidRPr="00AE1D32">
        <w:rPr>
          <w:rFonts w:ascii="Garamond" w:eastAsia="Times New Roman" w:hAnsi="Garamond" w:cs="Times New Roman"/>
          <w:sz w:val="24"/>
          <w:szCs w:val="24"/>
          <w:lang w:eastAsia="it-IT"/>
        </w:rPr>
        <w:t xml:space="preserve"> (tra viale Regione Siciliana sud - est, via Etna e via </w:t>
      </w:r>
      <w:proofErr w:type="spellStart"/>
      <w:r w:rsidRPr="00AE1D32">
        <w:rPr>
          <w:rFonts w:ascii="Garamond" w:eastAsia="Times New Roman" w:hAnsi="Garamond" w:cs="Times New Roman"/>
          <w:sz w:val="24"/>
          <w:szCs w:val="24"/>
          <w:lang w:eastAsia="it-IT"/>
        </w:rPr>
        <w:t>Agnetta</w:t>
      </w:r>
      <w:proofErr w:type="spellEnd"/>
      <w:r w:rsidRPr="00AE1D32">
        <w:rPr>
          <w:rFonts w:ascii="Garamond" w:eastAsia="Times New Roman" w:hAnsi="Garamond" w:cs="Times New Roman"/>
          <w:sz w:val="24"/>
          <w:szCs w:val="24"/>
          <w:lang w:eastAsia="it-IT"/>
        </w:rPr>
        <w:t>);</w:t>
      </w:r>
    </w:p>
    <w:p w:rsidR="00AE1D32" w:rsidRPr="00AE1D32" w:rsidRDefault="00AE1D32" w:rsidP="00AE1D32">
      <w:pPr>
        <w:spacing w:after="0" w:line="520" w:lineRule="atLeast"/>
        <w:jc w:val="both"/>
        <w:rPr>
          <w:rFonts w:ascii="Garamond" w:eastAsia="Times New Roman" w:hAnsi="Garamond" w:cs="Times New Roman"/>
          <w:sz w:val="24"/>
          <w:szCs w:val="24"/>
          <w:lang w:eastAsia="it-IT"/>
        </w:rPr>
      </w:pPr>
      <w:r w:rsidRPr="00AE1D32">
        <w:rPr>
          <w:rFonts w:ascii="Garamond" w:eastAsia="Times New Roman" w:hAnsi="Garamond" w:cs="Times New Roman"/>
          <w:sz w:val="24"/>
          <w:szCs w:val="24"/>
          <w:lang w:eastAsia="it-IT"/>
        </w:rPr>
        <w:t>- dell’allegato bando del concorso straordinario de quo (che costituisce parte integrante e sostanziale del decreto 24 dicembre 2012);</w:t>
      </w:r>
    </w:p>
    <w:p w:rsidR="00AE1D32" w:rsidRPr="00AE1D32" w:rsidRDefault="00AE1D32" w:rsidP="00AE1D32">
      <w:pPr>
        <w:spacing w:after="0" w:line="520" w:lineRule="atLeast"/>
        <w:jc w:val="both"/>
        <w:rPr>
          <w:rFonts w:ascii="Garamond" w:eastAsia="Times New Roman" w:hAnsi="Garamond" w:cs="Times New Roman"/>
          <w:sz w:val="24"/>
          <w:szCs w:val="24"/>
          <w:lang w:eastAsia="it-IT"/>
        </w:rPr>
      </w:pPr>
      <w:r w:rsidRPr="00AE1D32">
        <w:rPr>
          <w:rFonts w:ascii="Garamond" w:eastAsia="Times New Roman" w:hAnsi="Garamond" w:cs="Times New Roman"/>
          <w:sz w:val="24"/>
          <w:szCs w:val="24"/>
          <w:lang w:eastAsia="it-IT"/>
        </w:rPr>
        <w:t xml:space="preserve">- della nota </w:t>
      </w:r>
      <w:proofErr w:type="spellStart"/>
      <w:r w:rsidRPr="00AE1D32">
        <w:rPr>
          <w:rFonts w:ascii="Garamond" w:eastAsia="Times New Roman" w:hAnsi="Garamond" w:cs="Times New Roman"/>
          <w:sz w:val="24"/>
          <w:szCs w:val="24"/>
          <w:lang w:eastAsia="it-IT"/>
        </w:rPr>
        <w:t>prot</w:t>
      </w:r>
      <w:proofErr w:type="spellEnd"/>
      <w:r w:rsidRPr="00AE1D32">
        <w:rPr>
          <w:rFonts w:ascii="Garamond" w:eastAsia="Times New Roman" w:hAnsi="Garamond" w:cs="Times New Roman"/>
          <w:sz w:val="24"/>
          <w:szCs w:val="24"/>
          <w:lang w:eastAsia="it-IT"/>
        </w:rPr>
        <w:t>. n. 3122 del 14.01.2013, del Dirigente dell’UOB.7.1. del Dipartimento regionale pianificazione strategica - Assessorato della salute della Regione Siciliana;</w:t>
      </w:r>
    </w:p>
    <w:p w:rsidR="00AE1D32" w:rsidRPr="00AE1D32" w:rsidRDefault="00AE1D32" w:rsidP="00AE1D32">
      <w:pPr>
        <w:spacing w:after="0" w:line="520" w:lineRule="atLeast"/>
        <w:jc w:val="both"/>
        <w:rPr>
          <w:rFonts w:ascii="Garamond" w:eastAsia="Times New Roman" w:hAnsi="Garamond" w:cs="Times New Roman"/>
          <w:sz w:val="24"/>
          <w:szCs w:val="24"/>
          <w:lang w:eastAsia="it-IT"/>
        </w:rPr>
      </w:pPr>
      <w:r w:rsidRPr="00AE1D32">
        <w:rPr>
          <w:rFonts w:ascii="Garamond" w:eastAsia="Times New Roman" w:hAnsi="Garamond" w:cs="Times New Roman"/>
          <w:sz w:val="24"/>
          <w:szCs w:val="24"/>
          <w:lang w:eastAsia="it-IT"/>
        </w:rPr>
        <w:t>- di ogni altro atto connesso, presupposto o consequenziale che possa comunque risultare lesivo per la ricorrente.</w:t>
      </w:r>
    </w:p>
    <w:p w:rsidR="00AE1D32" w:rsidRPr="00AE1D32" w:rsidRDefault="00AE1D32" w:rsidP="00AE1D32">
      <w:pPr>
        <w:spacing w:after="0" w:line="240" w:lineRule="auto"/>
        <w:rPr>
          <w:rFonts w:ascii="Times New Roman" w:eastAsia="Times New Roman" w:hAnsi="Times New Roman" w:cs="Times New Roman"/>
          <w:sz w:val="24"/>
          <w:szCs w:val="24"/>
          <w:lang w:eastAsia="it-IT"/>
        </w:rPr>
      </w:pPr>
    </w:p>
    <w:p w:rsidR="00AE1D32" w:rsidRPr="00AE1D32" w:rsidRDefault="00AE1D32" w:rsidP="00AE1D32">
      <w:pPr>
        <w:spacing w:after="0" w:line="520" w:lineRule="atLeast"/>
        <w:jc w:val="both"/>
        <w:rPr>
          <w:rFonts w:ascii="Garamond" w:eastAsia="Times New Roman" w:hAnsi="Garamond" w:cs="Times New Roman"/>
          <w:sz w:val="24"/>
          <w:szCs w:val="24"/>
          <w:lang w:eastAsia="it-IT"/>
        </w:rPr>
      </w:pPr>
      <w:r w:rsidRPr="00AE1D32">
        <w:rPr>
          <w:rFonts w:ascii="Garamond" w:eastAsia="Times New Roman" w:hAnsi="Garamond" w:cs="Times New Roman"/>
          <w:sz w:val="24"/>
          <w:szCs w:val="24"/>
          <w:lang w:eastAsia="it-IT"/>
        </w:rPr>
        <w:t>Visti il ricorso, i motivi aggiunti ed i relativi allegati;</w:t>
      </w:r>
    </w:p>
    <w:p w:rsidR="00AE1D32" w:rsidRPr="00AE1D32" w:rsidRDefault="00AE1D32" w:rsidP="00AE1D32">
      <w:pPr>
        <w:spacing w:after="0" w:line="520" w:lineRule="atLeast"/>
        <w:jc w:val="both"/>
        <w:rPr>
          <w:rFonts w:ascii="Garamond" w:eastAsia="Times New Roman" w:hAnsi="Garamond" w:cs="Times New Roman"/>
          <w:sz w:val="24"/>
          <w:szCs w:val="24"/>
          <w:lang w:eastAsia="it-IT"/>
        </w:rPr>
      </w:pPr>
      <w:r w:rsidRPr="00AE1D32">
        <w:rPr>
          <w:rFonts w:ascii="Garamond" w:eastAsia="Times New Roman" w:hAnsi="Garamond" w:cs="Times New Roman"/>
          <w:sz w:val="24"/>
          <w:szCs w:val="24"/>
          <w:lang w:eastAsia="it-IT"/>
        </w:rPr>
        <w:t>Visto l’atto di costituzione in giudizio del Comune di Palermo;</w:t>
      </w:r>
    </w:p>
    <w:p w:rsidR="00AE1D32" w:rsidRPr="00AE1D32" w:rsidRDefault="00AE1D32" w:rsidP="00AE1D32">
      <w:pPr>
        <w:spacing w:after="0" w:line="520" w:lineRule="atLeast"/>
        <w:jc w:val="both"/>
        <w:rPr>
          <w:rFonts w:ascii="Garamond" w:eastAsia="Times New Roman" w:hAnsi="Garamond" w:cs="Times New Roman"/>
          <w:sz w:val="24"/>
          <w:szCs w:val="24"/>
          <w:lang w:eastAsia="it-IT"/>
        </w:rPr>
      </w:pPr>
      <w:r w:rsidRPr="00AE1D32">
        <w:rPr>
          <w:rFonts w:ascii="Garamond" w:eastAsia="Times New Roman" w:hAnsi="Garamond" w:cs="Times New Roman"/>
          <w:sz w:val="24"/>
          <w:szCs w:val="24"/>
          <w:lang w:eastAsia="it-IT"/>
        </w:rPr>
        <w:t>Visto l’atto di costituzione in giudizio dell’Assessorato alla salute della Regione Siciliana;</w:t>
      </w:r>
    </w:p>
    <w:p w:rsidR="00AE1D32" w:rsidRPr="00AE1D32" w:rsidRDefault="00AE1D32" w:rsidP="00AE1D32">
      <w:pPr>
        <w:spacing w:after="0" w:line="520" w:lineRule="atLeast"/>
        <w:jc w:val="both"/>
        <w:rPr>
          <w:rFonts w:ascii="Garamond" w:eastAsia="Times New Roman" w:hAnsi="Garamond" w:cs="Times New Roman"/>
          <w:sz w:val="24"/>
          <w:szCs w:val="24"/>
          <w:lang w:eastAsia="it-IT"/>
        </w:rPr>
      </w:pPr>
      <w:r w:rsidRPr="00AE1D32">
        <w:rPr>
          <w:rFonts w:ascii="Garamond" w:eastAsia="Times New Roman" w:hAnsi="Garamond" w:cs="Times New Roman"/>
          <w:sz w:val="24"/>
          <w:szCs w:val="24"/>
          <w:lang w:eastAsia="it-IT"/>
        </w:rPr>
        <w:t xml:space="preserve">Visto l’atto di costituzione in giudizio dei </w:t>
      </w:r>
      <w:proofErr w:type="spellStart"/>
      <w:r w:rsidRPr="00AE1D32">
        <w:rPr>
          <w:rFonts w:ascii="Garamond" w:eastAsia="Times New Roman" w:hAnsi="Garamond" w:cs="Times New Roman"/>
          <w:sz w:val="24"/>
          <w:szCs w:val="24"/>
          <w:lang w:eastAsia="it-IT"/>
        </w:rPr>
        <w:t>controinteressati</w:t>
      </w:r>
      <w:proofErr w:type="spellEnd"/>
      <w:r w:rsidRPr="00AE1D32">
        <w:rPr>
          <w:rFonts w:ascii="Garamond" w:eastAsia="Times New Roman" w:hAnsi="Garamond" w:cs="Times New Roman"/>
          <w:sz w:val="24"/>
          <w:szCs w:val="24"/>
          <w:lang w:eastAsia="it-IT"/>
        </w:rPr>
        <w:t xml:space="preserve"> </w:t>
      </w:r>
      <w:proofErr w:type="spellStart"/>
      <w:r w:rsidRPr="00AE1D32">
        <w:rPr>
          <w:rFonts w:ascii="Garamond" w:eastAsia="Times New Roman" w:hAnsi="Garamond" w:cs="Times New Roman"/>
          <w:sz w:val="24"/>
          <w:szCs w:val="24"/>
          <w:lang w:eastAsia="it-IT"/>
        </w:rPr>
        <w:t>Listro</w:t>
      </w:r>
      <w:proofErr w:type="spellEnd"/>
      <w:r w:rsidRPr="00AE1D32">
        <w:rPr>
          <w:rFonts w:ascii="Garamond" w:eastAsia="Times New Roman" w:hAnsi="Garamond" w:cs="Times New Roman"/>
          <w:sz w:val="24"/>
          <w:szCs w:val="24"/>
          <w:lang w:eastAsia="it-IT"/>
        </w:rPr>
        <w:t xml:space="preserve"> e </w:t>
      </w:r>
      <w:proofErr w:type="spellStart"/>
      <w:r w:rsidRPr="00AE1D32">
        <w:rPr>
          <w:rFonts w:ascii="Garamond" w:eastAsia="Times New Roman" w:hAnsi="Garamond" w:cs="Times New Roman"/>
          <w:sz w:val="24"/>
          <w:szCs w:val="24"/>
          <w:lang w:eastAsia="it-IT"/>
        </w:rPr>
        <w:t>Miraglia</w:t>
      </w:r>
      <w:proofErr w:type="spellEnd"/>
      <w:r w:rsidRPr="00AE1D32">
        <w:rPr>
          <w:rFonts w:ascii="Garamond" w:eastAsia="Times New Roman" w:hAnsi="Garamond" w:cs="Times New Roman"/>
          <w:sz w:val="24"/>
          <w:szCs w:val="24"/>
          <w:lang w:eastAsia="it-IT"/>
        </w:rPr>
        <w:t xml:space="preserve">; </w:t>
      </w:r>
    </w:p>
    <w:p w:rsidR="00AE1D32" w:rsidRPr="00AE1D32" w:rsidRDefault="00AE1D32" w:rsidP="00AE1D32">
      <w:pPr>
        <w:spacing w:after="0" w:line="520" w:lineRule="atLeast"/>
        <w:jc w:val="both"/>
        <w:rPr>
          <w:rFonts w:ascii="Garamond" w:eastAsia="Times New Roman" w:hAnsi="Garamond" w:cs="Times New Roman"/>
          <w:sz w:val="24"/>
          <w:szCs w:val="24"/>
          <w:lang w:eastAsia="it-IT"/>
        </w:rPr>
      </w:pPr>
      <w:r w:rsidRPr="00AE1D32">
        <w:rPr>
          <w:rFonts w:ascii="Garamond" w:eastAsia="Times New Roman" w:hAnsi="Garamond" w:cs="Times New Roman"/>
          <w:sz w:val="24"/>
          <w:szCs w:val="24"/>
          <w:lang w:eastAsia="it-IT"/>
        </w:rPr>
        <w:t>Viste le memorie delle parti;</w:t>
      </w:r>
    </w:p>
    <w:p w:rsidR="00AE1D32" w:rsidRPr="00AE1D32" w:rsidRDefault="00AE1D32" w:rsidP="00AE1D32">
      <w:pPr>
        <w:spacing w:after="0" w:line="520" w:lineRule="atLeast"/>
        <w:jc w:val="both"/>
        <w:rPr>
          <w:rFonts w:ascii="Garamond" w:eastAsia="Times New Roman" w:hAnsi="Garamond" w:cs="Times New Roman"/>
          <w:sz w:val="24"/>
          <w:szCs w:val="24"/>
          <w:lang w:eastAsia="it-IT"/>
        </w:rPr>
      </w:pPr>
      <w:r w:rsidRPr="00AE1D32">
        <w:rPr>
          <w:rFonts w:ascii="Garamond" w:eastAsia="Times New Roman" w:hAnsi="Garamond" w:cs="Times New Roman"/>
          <w:sz w:val="24"/>
          <w:szCs w:val="24"/>
          <w:lang w:eastAsia="it-IT"/>
        </w:rPr>
        <w:t>Visti gli atti tutti della causa;</w:t>
      </w:r>
    </w:p>
    <w:p w:rsidR="00AE1D32" w:rsidRPr="00AE1D32" w:rsidRDefault="00AE1D32" w:rsidP="00AE1D32">
      <w:pPr>
        <w:spacing w:after="0" w:line="520" w:lineRule="atLeast"/>
        <w:jc w:val="both"/>
        <w:rPr>
          <w:rFonts w:ascii="Garamond" w:eastAsia="Times New Roman" w:hAnsi="Garamond" w:cs="Times New Roman"/>
          <w:sz w:val="24"/>
          <w:szCs w:val="24"/>
          <w:lang w:eastAsia="it-IT"/>
        </w:rPr>
      </w:pPr>
      <w:r w:rsidRPr="00AE1D32">
        <w:rPr>
          <w:rFonts w:ascii="Garamond" w:eastAsia="Times New Roman" w:hAnsi="Garamond" w:cs="Times New Roman"/>
          <w:sz w:val="24"/>
          <w:szCs w:val="24"/>
          <w:lang w:eastAsia="it-IT"/>
        </w:rPr>
        <w:t>Relatore il dott. Giuseppe La Greca;</w:t>
      </w:r>
    </w:p>
    <w:p w:rsidR="00AE1D32" w:rsidRPr="00AE1D32" w:rsidRDefault="00AE1D32" w:rsidP="00AE1D32">
      <w:pPr>
        <w:spacing w:after="0" w:line="520" w:lineRule="atLeast"/>
        <w:jc w:val="both"/>
        <w:rPr>
          <w:rFonts w:ascii="Garamond" w:eastAsia="Times New Roman" w:hAnsi="Garamond" w:cs="Times New Roman"/>
          <w:sz w:val="24"/>
          <w:szCs w:val="24"/>
          <w:lang w:eastAsia="it-IT"/>
        </w:rPr>
      </w:pPr>
      <w:r w:rsidRPr="00AE1D32">
        <w:rPr>
          <w:rFonts w:ascii="Garamond" w:eastAsia="Times New Roman" w:hAnsi="Garamond" w:cs="Times New Roman"/>
          <w:sz w:val="24"/>
          <w:szCs w:val="24"/>
          <w:lang w:eastAsia="it-IT"/>
        </w:rPr>
        <w:t xml:space="preserve">Uditi nell’udienza pubblica del 14 maggio 2013 gli Avv.ti S. </w:t>
      </w:r>
      <w:proofErr w:type="spellStart"/>
      <w:r w:rsidRPr="00AE1D32">
        <w:rPr>
          <w:rFonts w:ascii="Garamond" w:eastAsia="Times New Roman" w:hAnsi="Garamond" w:cs="Times New Roman"/>
          <w:sz w:val="24"/>
          <w:szCs w:val="24"/>
          <w:lang w:eastAsia="it-IT"/>
        </w:rPr>
        <w:t>Pensabene</w:t>
      </w:r>
      <w:proofErr w:type="spellEnd"/>
      <w:r w:rsidRPr="00AE1D32">
        <w:rPr>
          <w:rFonts w:ascii="Garamond" w:eastAsia="Times New Roman" w:hAnsi="Garamond" w:cs="Times New Roman"/>
          <w:sz w:val="24"/>
          <w:szCs w:val="24"/>
          <w:lang w:eastAsia="it-IT"/>
        </w:rPr>
        <w:t xml:space="preserve"> </w:t>
      </w:r>
      <w:proofErr w:type="spellStart"/>
      <w:r w:rsidRPr="00AE1D32">
        <w:rPr>
          <w:rFonts w:ascii="Garamond" w:eastAsia="Times New Roman" w:hAnsi="Garamond" w:cs="Times New Roman"/>
          <w:sz w:val="24"/>
          <w:szCs w:val="24"/>
          <w:lang w:eastAsia="it-IT"/>
        </w:rPr>
        <w:t>Lionti</w:t>
      </w:r>
      <w:proofErr w:type="spellEnd"/>
      <w:r w:rsidRPr="00AE1D32">
        <w:rPr>
          <w:rFonts w:ascii="Garamond" w:eastAsia="Times New Roman" w:hAnsi="Garamond" w:cs="Times New Roman"/>
          <w:sz w:val="24"/>
          <w:szCs w:val="24"/>
          <w:lang w:eastAsia="it-IT"/>
        </w:rPr>
        <w:t xml:space="preserve"> e T. </w:t>
      </w:r>
      <w:proofErr w:type="spellStart"/>
      <w:r w:rsidRPr="00AE1D32">
        <w:rPr>
          <w:rFonts w:ascii="Garamond" w:eastAsia="Times New Roman" w:hAnsi="Garamond" w:cs="Times New Roman"/>
          <w:sz w:val="24"/>
          <w:szCs w:val="24"/>
          <w:lang w:eastAsia="it-IT"/>
        </w:rPr>
        <w:t>Pensabene</w:t>
      </w:r>
      <w:proofErr w:type="spellEnd"/>
      <w:r w:rsidRPr="00AE1D32">
        <w:rPr>
          <w:rFonts w:ascii="Garamond" w:eastAsia="Times New Roman" w:hAnsi="Garamond" w:cs="Times New Roman"/>
          <w:sz w:val="24"/>
          <w:szCs w:val="24"/>
          <w:lang w:eastAsia="it-IT"/>
        </w:rPr>
        <w:t xml:space="preserve"> </w:t>
      </w:r>
      <w:proofErr w:type="spellStart"/>
      <w:r w:rsidRPr="00AE1D32">
        <w:rPr>
          <w:rFonts w:ascii="Garamond" w:eastAsia="Times New Roman" w:hAnsi="Garamond" w:cs="Times New Roman"/>
          <w:sz w:val="24"/>
          <w:szCs w:val="24"/>
          <w:lang w:eastAsia="it-IT"/>
        </w:rPr>
        <w:t>Lionti</w:t>
      </w:r>
      <w:proofErr w:type="spellEnd"/>
      <w:r w:rsidRPr="00AE1D32">
        <w:rPr>
          <w:rFonts w:ascii="Garamond" w:eastAsia="Times New Roman" w:hAnsi="Garamond" w:cs="Times New Roman"/>
          <w:sz w:val="24"/>
          <w:szCs w:val="24"/>
          <w:lang w:eastAsia="it-IT"/>
        </w:rPr>
        <w:t xml:space="preserve"> per la parte ricorrente; G. Natale, su delega dell'Avv. A. </w:t>
      </w:r>
      <w:proofErr w:type="spellStart"/>
      <w:r w:rsidRPr="00AE1D32">
        <w:rPr>
          <w:rFonts w:ascii="Garamond" w:eastAsia="Times New Roman" w:hAnsi="Garamond" w:cs="Times New Roman"/>
          <w:sz w:val="24"/>
          <w:szCs w:val="24"/>
          <w:lang w:eastAsia="it-IT"/>
        </w:rPr>
        <w:t>Provenzani</w:t>
      </w:r>
      <w:proofErr w:type="spellEnd"/>
      <w:r w:rsidRPr="00AE1D32">
        <w:rPr>
          <w:rFonts w:ascii="Garamond" w:eastAsia="Times New Roman" w:hAnsi="Garamond" w:cs="Times New Roman"/>
          <w:sz w:val="24"/>
          <w:szCs w:val="24"/>
          <w:lang w:eastAsia="it-IT"/>
        </w:rPr>
        <w:t xml:space="preserve">, per il Comune di Palermo; R. </w:t>
      </w:r>
      <w:proofErr w:type="spellStart"/>
      <w:r w:rsidRPr="00AE1D32">
        <w:rPr>
          <w:rFonts w:ascii="Garamond" w:eastAsia="Times New Roman" w:hAnsi="Garamond" w:cs="Times New Roman"/>
          <w:sz w:val="24"/>
          <w:szCs w:val="24"/>
          <w:lang w:eastAsia="it-IT"/>
        </w:rPr>
        <w:t>Rotigliano</w:t>
      </w:r>
      <w:proofErr w:type="spellEnd"/>
      <w:r w:rsidRPr="00AE1D32">
        <w:rPr>
          <w:rFonts w:ascii="Garamond" w:eastAsia="Times New Roman" w:hAnsi="Garamond" w:cs="Times New Roman"/>
          <w:sz w:val="24"/>
          <w:szCs w:val="24"/>
          <w:lang w:eastAsia="it-IT"/>
        </w:rPr>
        <w:t xml:space="preserve"> per il </w:t>
      </w:r>
      <w:proofErr w:type="spellStart"/>
      <w:r w:rsidRPr="00AE1D32">
        <w:rPr>
          <w:rFonts w:ascii="Garamond" w:eastAsia="Times New Roman" w:hAnsi="Garamond" w:cs="Times New Roman"/>
          <w:sz w:val="24"/>
          <w:szCs w:val="24"/>
          <w:lang w:eastAsia="it-IT"/>
        </w:rPr>
        <w:t>controinteressato</w:t>
      </w:r>
      <w:proofErr w:type="spellEnd"/>
      <w:r w:rsidRPr="00AE1D32">
        <w:rPr>
          <w:rFonts w:ascii="Garamond" w:eastAsia="Times New Roman" w:hAnsi="Garamond" w:cs="Times New Roman"/>
          <w:sz w:val="24"/>
          <w:szCs w:val="24"/>
          <w:lang w:eastAsia="it-IT"/>
        </w:rPr>
        <w:t xml:space="preserve"> F. </w:t>
      </w:r>
      <w:proofErr w:type="spellStart"/>
      <w:r w:rsidRPr="00AE1D32">
        <w:rPr>
          <w:rFonts w:ascii="Garamond" w:eastAsia="Times New Roman" w:hAnsi="Garamond" w:cs="Times New Roman"/>
          <w:sz w:val="24"/>
          <w:szCs w:val="24"/>
          <w:lang w:eastAsia="it-IT"/>
        </w:rPr>
        <w:t>Miraglia</w:t>
      </w:r>
      <w:proofErr w:type="spellEnd"/>
      <w:r w:rsidRPr="00AE1D32">
        <w:rPr>
          <w:rFonts w:ascii="Garamond" w:eastAsia="Times New Roman" w:hAnsi="Garamond" w:cs="Times New Roman"/>
          <w:sz w:val="24"/>
          <w:szCs w:val="24"/>
          <w:lang w:eastAsia="it-IT"/>
        </w:rPr>
        <w:t xml:space="preserve">; </w:t>
      </w:r>
      <w:proofErr w:type="spellStart"/>
      <w:r w:rsidRPr="00AE1D32">
        <w:rPr>
          <w:rFonts w:ascii="Garamond" w:eastAsia="Times New Roman" w:hAnsi="Garamond" w:cs="Times New Roman"/>
          <w:sz w:val="24"/>
          <w:szCs w:val="24"/>
          <w:lang w:eastAsia="it-IT"/>
        </w:rPr>
        <w:t>G.nni</w:t>
      </w:r>
      <w:proofErr w:type="spellEnd"/>
      <w:r w:rsidRPr="00AE1D32">
        <w:rPr>
          <w:rFonts w:ascii="Garamond" w:eastAsia="Times New Roman" w:hAnsi="Garamond" w:cs="Times New Roman"/>
          <w:sz w:val="24"/>
          <w:szCs w:val="24"/>
          <w:lang w:eastAsia="it-IT"/>
        </w:rPr>
        <w:t xml:space="preserve"> </w:t>
      </w:r>
      <w:proofErr w:type="spellStart"/>
      <w:r w:rsidRPr="00AE1D32">
        <w:rPr>
          <w:rFonts w:ascii="Garamond" w:eastAsia="Times New Roman" w:hAnsi="Garamond" w:cs="Times New Roman"/>
          <w:sz w:val="24"/>
          <w:szCs w:val="24"/>
          <w:lang w:eastAsia="it-IT"/>
        </w:rPr>
        <w:t>Immordino</w:t>
      </w:r>
      <w:proofErr w:type="spellEnd"/>
      <w:r w:rsidRPr="00AE1D32">
        <w:rPr>
          <w:rFonts w:ascii="Garamond" w:eastAsia="Times New Roman" w:hAnsi="Garamond" w:cs="Times New Roman"/>
          <w:sz w:val="24"/>
          <w:szCs w:val="24"/>
          <w:lang w:eastAsia="it-IT"/>
        </w:rPr>
        <w:t xml:space="preserve">, per il </w:t>
      </w:r>
      <w:proofErr w:type="spellStart"/>
      <w:r w:rsidRPr="00AE1D32">
        <w:rPr>
          <w:rFonts w:ascii="Garamond" w:eastAsia="Times New Roman" w:hAnsi="Garamond" w:cs="Times New Roman"/>
          <w:sz w:val="24"/>
          <w:szCs w:val="24"/>
          <w:lang w:eastAsia="it-IT"/>
        </w:rPr>
        <w:t>controinteressato</w:t>
      </w:r>
      <w:proofErr w:type="spellEnd"/>
      <w:r w:rsidRPr="00AE1D32">
        <w:rPr>
          <w:rFonts w:ascii="Garamond" w:eastAsia="Times New Roman" w:hAnsi="Garamond" w:cs="Times New Roman"/>
          <w:sz w:val="24"/>
          <w:szCs w:val="24"/>
          <w:lang w:eastAsia="it-IT"/>
        </w:rPr>
        <w:t xml:space="preserve"> O. </w:t>
      </w:r>
      <w:proofErr w:type="spellStart"/>
      <w:r w:rsidRPr="00AE1D32">
        <w:rPr>
          <w:rFonts w:ascii="Garamond" w:eastAsia="Times New Roman" w:hAnsi="Garamond" w:cs="Times New Roman"/>
          <w:sz w:val="24"/>
          <w:szCs w:val="24"/>
          <w:lang w:eastAsia="it-IT"/>
        </w:rPr>
        <w:t>Listro</w:t>
      </w:r>
      <w:proofErr w:type="spellEnd"/>
      <w:r w:rsidRPr="00AE1D32">
        <w:rPr>
          <w:rFonts w:ascii="Garamond" w:eastAsia="Times New Roman" w:hAnsi="Garamond" w:cs="Times New Roman"/>
          <w:sz w:val="24"/>
          <w:szCs w:val="24"/>
          <w:lang w:eastAsia="it-IT"/>
        </w:rPr>
        <w:t>; l’Avvocato dello Stato M. Mango per l’Assessorato alla salute della Regione Siciliana;</w:t>
      </w:r>
    </w:p>
    <w:p w:rsidR="00AE1D32" w:rsidRPr="00AE1D32" w:rsidRDefault="00AE1D32" w:rsidP="00AE1D32">
      <w:pPr>
        <w:spacing w:after="0" w:line="520" w:lineRule="atLeast"/>
        <w:jc w:val="both"/>
        <w:rPr>
          <w:rFonts w:ascii="Garamond" w:eastAsia="Times New Roman" w:hAnsi="Garamond" w:cs="Times New Roman"/>
          <w:sz w:val="24"/>
          <w:szCs w:val="24"/>
          <w:lang w:eastAsia="it-IT"/>
        </w:rPr>
      </w:pPr>
      <w:r w:rsidRPr="00AE1D32">
        <w:rPr>
          <w:rFonts w:ascii="Garamond" w:eastAsia="Times New Roman" w:hAnsi="Garamond" w:cs="Times New Roman"/>
          <w:sz w:val="24"/>
          <w:szCs w:val="24"/>
          <w:lang w:eastAsia="it-IT"/>
        </w:rPr>
        <w:t>Ritenuto e considerato in fatto e diritto quanto segue:</w:t>
      </w:r>
    </w:p>
    <w:p w:rsidR="00AE1D32" w:rsidRPr="00AE1D32" w:rsidRDefault="00AE1D32" w:rsidP="00AE1D32">
      <w:pPr>
        <w:spacing w:after="0" w:line="240" w:lineRule="auto"/>
        <w:rPr>
          <w:rFonts w:ascii="Times New Roman" w:eastAsia="Times New Roman" w:hAnsi="Times New Roman" w:cs="Times New Roman"/>
          <w:sz w:val="24"/>
          <w:szCs w:val="24"/>
          <w:lang w:eastAsia="it-IT"/>
        </w:rPr>
      </w:pPr>
    </w:p>
    <w:p w:rsidR="00AE1D32" w:rsidRPr="00AE1D32" w:rsidRDefault="00AE1D32" w:rsidP="00AE1D32">
      <w:pPr>
        <w:spacing w:after="0" w:line="540" w:lineRule="atLeast"/>
        <w:jc w:val="center"/>
        <w:rPr>
          <w:rFonts w:ascii="Garamond" w:eastAsia="Times New Roman" w:hAnsi="Garamond" w:cs="Times New Roman"/>
          <w:sz w:val="24"/>
          <w:szCs w:val="24"/>
          <w:lang w:eastAsia="it-IT"/>
        </w:rPr>
      </w:pPr>
      <w:r w:rsidRPr="00AE1D32">
        <w:rPr>
          <w:rFonts w:ascii="Garamond" w:eastAsia="Times New Roman" w:hAnsi="Garamond" w:cs="Times New Roman"/>
          <w:sz w:val="24"/>
          <w:szCs w:val="24"/>
          <w:lang w:eastAsia="it-IT"/>
        </w:rPr>
        <w:t>FATTO e DIRITTO</w:t>
      </w:r>
    </w:p>
    <w:p w:rsidR="00AE1D32" w:rsidRPr="00AE1D32" w:rsidRDefault="00AE1D32" w:rsidP="00AE1D32">
      <w:pPr>
        <w:spacing w:after="0" w:line="520" w:lineRule="atLeast"/>
        <w:jc w:val="both"/>
        <w:rPr>
          <w:rFonts w:ascii="Garamond" w:eastAsia="Times New Roman" w:hAnsi="Garamond" w:cs="Times New Roman"/>
          <w:sz w:val="24"/>
          <w:szCs w:val="24"/>
          <w:lang w:eastAsia="it-IT"/>
        </w:rPr>
      </w:pPr>
      <w:r w:rsidRPr="00AE1D32">
        <w:rPr>
          <w:rFonts w:ascii="Garamond" w:eastAsia="Times New Roman" w:hAnsi="Garamond" w:cs="Times New Roman"/>
          <w:sz w:val="24"/>
          <w:szCs w:val="24"/>
          <w:lang w:eastAsia="it-IT"/>
        </w:rPr>
        <w:t xml:space="preserve">1.- La dott.ssa Francesca </w:t>
      </w:r>
      <w:proofErr w:type="spellStart"/>
      <w:r w:rsidRPr="00AE1D32">
        <w:rPr>
          <w:rFonts w:ascii="Garamond" w:eastAsia="Times New Roman" w:hAnsi="Garamond" w:cs="Times New Roman"/>
          <w:sz w:val="24"/>
          <w:szCs w:val="24"/>
          <w:lang w:eastAsia="it-IT"/>
        </w:rPr>
        <w:t>Mandalà</w:t>
      </w:r>
      <w:proofErr w:type="spellEnd"/>
      <w:r w:rsidRPr="00AE1D32">
        <w:rPr>
          <w:rFonts w:ascii="Garamond" w:eastAsia="Times New Roman" w:hAnsi="Garamond" w:cs="Times New Roman"/>
          <w:sz w:val="24"/>
          <w:szCs w:val="24"/>
          <w:lang w:eastAsia="it-IT"/>
        </w:rPr>
        <w:t xml:space="preserve"> è titolare dell’omonima farmacia, con sede in Via </w:t>
      </w:r>
      <w:proofErr w:type="spellStart"/>
      <w:r w:rsidRPr="00AE1D32">
        <w:rPr>
          <w:rFonts w:ascii="Garamond" w:eastAsia="Times New Roman" w:hAnsi="Garamond" w:cs="Times New Roman"/>
          <w:sz w:val="24"/>
          <w:szCs w:val="24"/>
          <w:lang w:eastAsia="it-IT"/>
        </w:rPr>
        <w:t>Villagrazia</w:t>
      </w:r>
      <w:proofErr w:type="spellEnd"/>
      <w:r w:rsidRPr="00AE1D32">
        <w:rPr>
          <w:rFonts w:ascii="Garamond" w:eastAsia="Times New Roman" w:hAnsi="Garamond" w:cs="Times New Roman"/>
          <w:sz w:val="24"/>
          <w:szCs w:val="24"/>
          <w:lang w:eastAsia="it-IT"/>
        </w:rPr>
        <w:t xml:space="preserve"> a Palermo, ed ha impugnato - chiedendone l’annullamento in parte qua, vinte le spese - il provvedimento con il quale il Comune ha istituito, tra le altre, nuove quattro sedi farmaceutiche nel quartiere </w:t>
      </w:r>
      <w:proofErr w:type="spellStart"/>
      <w:r w:rsidRPr="00AE1D32">
        <w:rPr>
          <w:rFonts w:ascii="Garamond" w:eastAsia="Times New Roman" w:hAnsi="Garamond" w:cs="Times New Roman"/>
          <w:sz w:val="24"/>
          <w:szCs w:val="24"/>
          <w:lang w:eastAsia="it-IT"/>
        </w:rPr>
        <w:t>Villagrazia</w:t>
      </w:r>
      <w:proofErr w:type="spellEnd"/>
      <w:r w:rsidRPr="00AE1D32">
        <w:rPr>
          <w:rFonts w:ascii="Garamond" w:eastAsia="Times New Roman" w:hAnsi="Garamond" w:cs="Times New Roman"/>
          <w:sz w:val="24"/>
          <w:szCs w:val="24"/>
          <w:lang w:eastAsia="it-IT"/>
        </w:rPr>
        <w:t xml:space="preserve"> - </w:t>
      </w:r>
      <w:proofErr w:type="spellStart"/>
      <w:r w:rsidRPr="00AE1D32">
        <w:rPr>
          <w:rFonts w:ascii="Garamond" w:eastAsia="Times New Roman" w:hAnsi="Garamond" w:cs="Times New Roman"/>
          <w:sz w:val="24"/>
          <w:szCs w:val="24"/>
          <w:lang w:eastAsia="it-IT"/>
        </w:rPr>
        <w:t>Falsomiele</w:t>
      </w:r>
      <w:proofErr w:type="spellEnd"/>
      <w:r w:rsidRPr="00AE1D32">
        <w:rPr>
          <w:rFonts w:ascii="Garamond" w:eastAsia="Times New Roman" w:hAnsi="Garamond" w:cs="Times New Roman"/>
          <w:sz w:val="24"/>
          <w:szCs w:val="24"/>
          <w:lang w:eastAsia="it-IT"/>
        </w:rPr>
        <w:t xml:space="preserve">, in forza dell’art. 1 del d.l. n. 1 del 2012, convertito con legge n. 27 del 2012. </w:t>
      </w:r>
    </w:p>
    <w:p w:rsidR="00AE1D32" w:rsidRPr="00AE1D32" w:rsidRDefault="00AE1D32" w:rsidP="00AE1D32">
      <w:pPr>
        <w:spacing w:after="0" w:line="520" w:lineRule="atLeast"/>
        <w:jc w:val="both"/>
        <w:rPr>
          <w:rFonts w:ascii="Garamond" w:eastAsia="Times New Roman" w:hAnsi="Garamond" w:cs="Times New Roman"/>
          <w:sz w:val="24"/>
          <w:szCs w:val="24"/>
          <w:lang w:eastAsia="it-IT"/>
        </w:rPr>
      </w:pPr>
      <w:r w:rsidRPr="00AE1D32">
        <w:rPr>
          <w:rFonts w:ascii="Garamond" w:eastAsia="Times New Roman" w:hAnsi="Garamond" w:cs="Times New Roman"/>
          <w:sz w:val="24"/>
          <w:szCs w:val="24"/>
          <w:lang w:eastAsia="it-IT"/>
        </w:rPr>
        <w:t>2.- Il ricorso si articola in tre motivi di doglianza con cui si deducono i vizi di violazione di legge ed eccesso di potere sotto diversi profili, tutti tesi a censurare l’asserita illogicità della scelta comunale, sia alla luce del complessivo riparto sul territorio delle nuove sedi farmaceutiche, sia con riferimento ai (contrari) pareri resi dall’Azienda sanitaria provinciale e dall’Ordine dei farmacisti.</w:t>
      </w:r>
    </w:p>
    <w:p w:rsidR="00AE1D32" w:rsidRPr="00AE1D32" w:rsidRDefault="00AE1D32" w:rsidP="00AE1D32">
      <w:pPr>
        <w:spacing w:after="0" w:line="520" w:lineRule="atLeast"/>
        <w:jc w:val="both"/>
        <w:rPr>
          <w:rFonts w:ascii="Garamond" w:eastAsia="Times New Roman" w:hAnsi="Garamond" w:cs="Times New Roman"/>
          <w:sz w:val="24"/>
          <w:szCs w:val="24"/>
          <w:lang w:eastAsia="it-IT"/>
        </w:rPr>
      </w:pPr>
      <w:r w:rsidRPr="00AE1D32">
        <w:rPr>
          <w:rFonts w:ascii="Garamond" w:eastAsia="Times New Roman" w:hAnsi="Garamond" w:cs="Times New Roman"/>
          <w:sz w:val="24"/>
          <w:szCs w:val="24"/>
          <w:lang w:eastAsia="it-IT"/>
        </w:rPr>
        <w:t xml:space="preserve">3.- Con ricorso per motivi aggiunti la ricorrente ha impugnato il sopravvenuto provvedimento con cui l’Amministrazione regionale ha indetto il concorso per l’assegnazione delle istituite nuove sedi farmaceutiche. </w:t>
      </w:r>
    </w:p>
    <w:p w:rsidR="00AE1D32" w:rsidRPr="00AE1D32" w:rsidRDefault="00AE1D32" w:rsidP="00AE1D32">
      <w:pPr>
        <w:spacing w:after="0" w:line="520" w:lineRule="atLeast"/>
        <w:jc w:val="both"/>
        <w:rPr>
          <w:rFonts w:ascii="Garamond" w:eastAsia="Times New Roman" w:hAnsi="Garamond" w:cs="Times New Roman"/>
          <w:sz w:val="24"/>
          <w:szCs w:val="24"/>
          <w:lang w:eastAsia="it-IT"/>
        </w:rPr>
      </w:pPr>
      <w:r w:rsidRPr="00AE1D32">
        <w:rPr>
          <w:rFonts w:ascii="Garamond" w:eastAsia="Times New Roman" w:hAnsi="Garamond" w:cs="Times New Roman"/>
          <w:sz w:val="24"/>
          <w:szCs w:val="24"/>
          <w:lang w:eastAsia="it-IT"/>
        </w:rPr>
        <w:t>Con tale gravame è aggredito, in via diretta, il provvedimento di indizione del concorso sul rilievo che, secondo quanto prospettato, la procedura sarebbe stata attivata sulla base di un provvedimento comunale che avrebbe illegittimamente modificato la pianta organica delle farmacie (in tesi di competenza della Regione) e che, ad un tempo, avrebbe illegittimamente modificato la «circoscrizione» di una farmacia già istituita, in un’area che, secondo quanto prospettato, sarebbe connotata da un rapporto tra densità demografica e fabbisogno di medicinali inferiore a quello delle aree limitrofe.</w:t>
      </w:r>
    </w:p>
    <w:p w:rsidR="00AE1D32" w:rsidRPr="00AE1D32" w:rsidRDefault="00AE1D32" w:rsidP="00AE1D32">
      <w:pPr>
        <w:spacing w:after="0" w:line="520" w:lineRule="atLeast"/>
        <w:jc w:val="both"/>
        <w:rPr>
          <w:rFonts w:ascii="Garamond" w:eastAsia="Times New Roman" w:hAnsi="Garamond" w:cs="Times New Roman"/>
          <w:sz w:val="24"/>
          <w:szCs w:val="24"/>
          <w:lang w:eastAsia="it-IT"/>
        </w:rPr>
      </w:pPr>
      <w:r w:rsidRPr="00AE1D32">
        <w:rPr>
          <w:rFonts w:ascii="Garamond" w:eastAsia="Times New Roman" w:hAnsi="Garamond" w:cs="Times New Roman"/>
          <w:sz w:val="24"/>
          <w:szCs w:val="24"/>
          <w:lang w:eastAsia="it-IT"/>
        </w:rPr>
        <w:t>Il medesimo provvedimento di indizione del concorso è, altresì, censurato in via derivata, con riproposizione delle medesime doglianze già proposte avverso il provvedimento comunale di riparto delle nuove sedi farmaceutiche.</w:t>
      </w:r>
    </w:p>
    <w:p w:rsidR="00AE1D32" w:rsidRPr="00AE1D32" w:rsidRDefault="00AE1D32" w:rsidP="00AE1D32">
      <w:pPr>
        <w:spacing w:after="0" w:line="520" w:lineRule="atLeast"/>
        <w:jc w:val="both"/>
        <w:rPr>
          <w:rFonts w:ascii="Garamond" w:eastAsia="Times New Roman" w:hAnsi="Garamond" w:cs="Times New Roman"/>
          <w:sz w:val="24"/>
          <w:szCs w:val="24"/>
          <w:lang w:eastAsia="it-IT"/>
        </w:rPr>
      </w:pPr>
      <w:r w:rsidRPr="00AE1D32">
        <w:rPr>
          <w:rFonts w:ascii="Garamond" w:eastAsia="Times New Roman" w:hAnsi="Garamond" w:cs="Times New Roman"/>
          <w:sz w:val="24"/>
          <w:szCs w:val="24"/>
          <w:lang w:eastAsia="it-IT"/>
        </w:rPr>
        <w:t xml:space="preserve">4.- Si sono costituite tutte le parti intimate che, con specifiche memorie, hanno concluso per l’infondatezza del gravame. </w:t>
      </w:r>
    </w:p>
    <w:p w:rsidR="00AE1D32" w:rsidRPr="00AE1D32" w:rsidRDefault="00AE1D32" w:rsidP="00AE1D32">
      <w:pPr>
        <w:spacing w:after="0" w:line="520" w:lineRule="atLeast"/>
        <w:jc w:val="both"/>
        <w:rPr>
          <w:rFonts w:ascii="Garamond" w:eastAsia="Times New Roman" w:hAnsi="Garamond" w:cs="Times New Roman"/>
          <w:sz w:val="24"/>
          <w:szCs w:val="24"/>
          <w:lang w:eastAsia="it-IT"/>
        </w:rPr>
      </w:pPr>
      <w:r w:rsidRPr="00AE1D32">
        <w:rPr>
          <w:rFonts w:ascii="Garamond" w:eastAsia="Times New Roman" w:hAnsi="Garamond" w:cs="Times New Roman"/>
          <w:sz w:val="24"/>
          <w:szCs w:val="24"/>
          <w:lang w:eastAsia="it-IT"/>
        </w:rPr>
        <w:t xml:space="preserve">Il </w:t>
      </w:r>
      <w:proofErr w:type="spellStart"/>
      <w:r w:rsidRPr="00AE1D32">
        <w:rPr>
          <w:rFonts w:ascii="Garamond" w:eastAsia="Times New Roman" w:hAnsi="Garamond" w:cs="Times New Roman"/>
          <w:sz w:val="24"/>
          <w:szCs w:val="24"/>
          <w:lang w:eastAsia="it-IT"/>
        </w:rPr>
        <w:t>controinteressato</w:t>
      </w:r>
      <w:proofErr w:type="spellEnd"/>
      <w:r w:rsidRPr="00AE1D32">
        <w:rPr>
          <w:rFonts w:ascii="Garamond" w:eastAsia="Times New Roman" w:hAnsi="Garamond" w:cs="Times New Roman"/>
          <w:sz w:val="24"/>
          <w:szCs w:val="24"/>
          <w:lang w:eastAsia="it-IT"/>
        </w:rPr>
        <w:t xml:space="preserve"> </w:t>
      </w:r>
      <w:proofErr w:type="spellStart"/>
      <w:r w:rsidRPr="00AE1D32">
        <w:rPr>
          <w:rFonts w:ascii="Garamond" w:eastAsia="Times New Roman" w:hAnsi="Garamond" w:cs="Times New Roman"/>
          <w:sz w:val="24"/>
          <w:szCs w:val="24"/>
          <w:lang w:eastAsia="it-IT"/>
        </w:rPr>
        <w:t>Listro</w:t>
      </w:r>
      <w:proofErr w:type="spellEnd"/>
      <w:r w:rsidRPr="00AE1D32">
        <w:rPr>
          <w:rFonts w:ascii="Garamond" w:eastAsia="Times New Roman" w:hAnsi="Garamond" w:cs="Times New Roman"/>
          <w:sz w:val="24"/>
          <w:szCs w:val="24"/>
          <w:lang w:eastAsia="it-IT"/>
        </w:rPr>
        <w:t xml:space="preserve"> ha altresì sollevato specifica eccezione di inammissibilità.</w:t>
      </w:r>
    </w:p>
    <w:p w:rsidR="00AE1D32" w:rsidRPr="00AE1D32" w:rsidRDefault="00AE1D32" w:rsidP="00AE1D32">
      <w:pPr>
        <w:spacing w:after="0" w:line="520" w:lineRule="atLeast"/>
        <w:jc w:val="both"/>
        <w:rPr>
          <w:rFonts w:ascii="Garamond" w:eastAsia="Times New Roman" w:hAnsi="Garamond" w:cs="Times New Roman"/>
          <w:sz w:val="24"/>
          <w:szCs w:val="24"/>
          <w:lang w:eastAsia="it-IT"/>
        </w:rPr>
      </w:pPr>
      <w:r w:rsidRPr="00AE1D32">
        <w:rPr>
          <w:rFonts w:ascii="Garamond" w:eastAsia="Times New Roman" w:hAnsi="Garamond" w:cs="Times New Roman"/>
          <w:sz w:val="24"/>
          <w:szCs w:val="24"/>
          <w:lang w:eastAsia="it-IT"/>
        </w:rPr>
        <w:t>5.- All’udienza pubblica del 14 maggio 2013, dopo la rituale discussione, il ricorso, su richiesta dei procuratori delle parti, è stato trattenuto in decisione.</w:t>
      </w:r>
    </w:p>
    <w:p w:rsidR="00AE1D32" w:rsidRPr="00AE1D32" w:rsidRDefault="00AE1D32" w:rsidP="00AE1D32">
      <w:pPr>
        <w:spacing w:after="0" w:line="520" w:lineRule="atLeast"/>
        <w:jc w:val="both"/>
        <w:rPr>
          <w:rFonts w:ascii="Garamond" w:eastAsia="Times New Roman" w:hAnsi="Garamond" w:cs="Times New Roman"/>
          <w:sz w:val="24"/>
          <w:szCs w:val="24"/>
          <w:lang w:eastAsia="it-IT"/>
        </w:rPr>
      </w:pPr>
      <w:r w:rsidRPr="00AE1D32">
        <w:rPr>
          <w:rFonts w:ascii="Garamond" w:eastAsia="Times New Roman" w:hAnsi="Garamond" w:cs="Times New Roman"/>
          <w:sz w:val="24"/>
          <w:szCs w:val="24"/>
          <w:lang w:eastAsia="it-IT"/>
        </w:rPr>
        <w:t xml:space="preserve">6.- Il </w:t>
      </w:r>
      <w:proofErr w:type="spellStart"/>
      <w:r w:rsidRPr="00AE1D32">
        <w:rPr>
          <w:rFonts w:ascii="Garamond" w:eastAsia="Times New Roman" w:hAnsi="Garamond" w:cs="Times New Roman"/>
          <w:sz w:val="24"/>
          <w:szCs w:val="24"/>
          <w:lang w:eastAsia="it-IT"/>
        </w:rPr>
        <w:t>controinteressato</w:t>
      </w:r>
      <w:proofErr w:type="spellEnd"/>
      <w:r w:rsidRPr="00AE1D32">
        <w:rPr>
          <w:rFonts w:ascii="Garamond" w:eastAsia="Times New Roman" w:hAnsi="Garamond" w:cs="Times New Roman"/>
          <w:sz w:val="24"/>
          <w:szCs w:val="24"/>
          <w:lang w:eastAsia="it-IT"/>
        </w:rPr>
        <w:t xml:space="preserve"> </w:t>
      </w:r>
      <w:proofErr w:type="spellStart"/>
      <w:r w:rsidRPr="00AE1D32">
        <w:rPr>
          <w:rFonts w:ascii="Garamond" w:eastAsia="Times New Roman" w:hAnsi="Garamond" w:cs="Times New Roman"/>
          <w:sz w:val="24"/>
          <w:szCs w:val="24"/>
          <w:lang w:eastAsia="it-IT"/>
        </w:rPr>
        <w:t>Listro</w:t>
      </w:r>
      <w:proofErr w:type="spellEnd"/>
      <w:r w:rsidRPr="00AE1D32">
        <w:rPr>
          <w:rFonts w:ascii="Garamond" w:eastAsia="Times New Roman" w:hAnsi="Garamond" w:cs="Times New Roman"/>
          <w:sz w:val="24"/>
          <w:szCs w:val="24"/>
          <w:lang w:eastAsia="it-IT"/>
        </w:rPr>
        <w:t xml:space="preserve"> deduce l’inammissibilità del ricorso poiché la ricorrente non avrebbe contestato la complessiva illogicità della scelta comunale.</w:t>
      </w:r>
    </w:p>
    <w:p w:rsidR="00AE1D32" w:rsidRPr="00AE1D32" w:rsidRDefault="00AE1D32" w:rsidP="00AE1D32">
      <w:pPr>
        <w:spacing w:after="0" w:line="520" w:lineRule="atLeast"/>
        <w:jc w:val="both"/>
        <w:rPr>
          <w:rFonts w:ascii="Garamond" w:eastAsia="Times New Roman" w:hAnsi="Garamond" w:cs="Times New Roman"/>
          <w:sz w:val="24"/>
          <w:szCs w:val="24"/>
          <w:lang w:eastAsia="it-IT"/>
        </w:rPr>
      </w:pPr>
      <w:r w:rsidRPr="00AE1D32">
        <w:rPr>
          <w:rFonts w:ascii="Garamond" w:eastAsia="Times New Roman" w:hAnsi="Garamond" w:cs="Times New Roman"/>
          <w:sz w:val="24"/>
          <w:szCs w:val="24"/>
          <w:lang w:eastAsia="it-IT"/>
        </w:rPr>
        <w:t>L’eccezione è priva di fondamento.</w:t>
      </w:r>
    </w:p>
    <w:p w:rsidR="00AE1D32" w:rsidRPr="00AE1D32" w:rsidRDefault="00AE1D32" w:rsidP="00AE1D32">
      <w:pPr>
        <w:spacing w:after="0" w:line="520" w:lineRule="atLeast"/>
        <w:jc w:val="both"/>
        <w:rPr>
          <w:rFonts w:ascii="Garamond" w:eastAsia="Times New Roman" w:hAnsi="Garamond" w:cs="Times New Roman"/>
          <w:sz w:val="24"/>
          <w:szCs w:val="24"/>
          <w:lang w:eastAsia="it-IT"/>
        </w:rPr>
      </w:pPr>
      <w:r w:rsidRPr="00AE1D32">
        <w:rPr>
          <w:rFonts w:ascii="Garamond" w:eastAsia="Times New Roman" w:hAnsi="Garamond" w:cs="Times New Roman"/>
          <w:sz w:val="24"/>
          <w:szCs w:val="24"/>
          <w:lang w:eastAsia="it-IT"/>
        </w:rPr>
        <w:t xml:space="preserve">Le censure mosse, sia singolarmente considerate sia valutate nell’ambito della complessiva </w:t>
      </w:r>
      <w:r w:rsidRPr="00AE1D32">
        <w:rPr>
          <w:rFonts w:ascii="Garamond" w:eastAsia="Times New Roman" w:hAnsi="Garamond" w:cs="Times New Roman"/>
          <w:i/>
          <w:iCs/>
          <w:sz w:val="24"/>
          <w:szCs w:val="24"/>
          <w:lang w:eastAsia="it-IT"/>
        </w:rPr>
        <w:t xml:space="preserve">causa </w:t>
      </w:r>
      <w:proofErr w:type="spellStart"/>
      <w:r w:rsidRPr="00AE1D32">
        <w:rPr>
          <w:rFonts w:ascii="Garamond" w:eastAsia="Times New Roman" w:hAnsi="Garamond" w:cs="Times New Roman"/>
          <w:i/>
          <w:iCs/>
          <w:sz w:val="24"/>
          <w:szCs w:val="24"/>
          <w:lang w:eastAsia="it-IT"/>
        </w:rPr>
        <w:t>petendi</w:t>
      </w:r>
      <w:proofErr w:type="spellEnd"/>
      <w:r w:rsidRPr="00AE1D32">
        <w:rPr>
          <w:rFonts w:ascii="Garamond" w:eastAsia="Times New Roman" w:hAnsi="Garamond" w:cs="Times New Roman"/>
          <w:sz w:val="24"/>
          <w:szCs w:val="24"/>
          <w:lang w:eastAsia="it-IT"/>
        </w:rPr>
        <w:t xml:space="preserve">, sono tutt’altro che centrifughe rispetto al punto focale della vicenda contenziosa vista nella sua </w:t>
      </w:r>
      <w:proofErr w:type="spellStart"/>
      <w:r w:rsidRPr="00AE1D32">
        <w:rPr>
          <w:rFonts w:ascii="Garamond" w:eastAsia="Times New Roman" w:hAnsi="Garamond" w:cs="Times New Roman"/>
          <w:sz w:val="24"/>
          <w:szCs w:val="24"/>
          <w:lang w:eastAsia="it-IT"/>
        </w:rPr>
        <w:t>complessività</w:t>
      </w:r>
      <w:proofErr w:type="spellEnd"/>
      <w:r w:rsidRPr="00AE1D32">
        <w:rPr>
          <w:rFonts w:ascii="Garamond" w:eastAsia="Times New Roman" w:hAnsi="Garamond" w:cs="Times New Roman"/>
          <w:sz w:val="24"/>
          <w:szCs w:val="24"/>
          <w:lang w:eastAsia="it-IT"/>
        </w:rPr>
        <w:t xml:space="preserve"> anche in termini di eccesso di potere che involgerebbe le scelte effettuate, delle quali mettono in evidenza, del resto, tutti i possibili profili di illegittimità superando anche la soglia minima di specificità tale da consentire al Giudice una compiuta delibazione.</w:t>
      </w:r>
    </w:p>
    <w:p w:rsidR="00AE1D32" w:rsidRPr="00AE1D32" w:rsidRDefault="00AE1D32" w:rsidP="00AE1D32">
      <w:pPr>
        <w:spacing w:after="0" w:line="520" w:lineRule="atLeast"/>
        <w:jc w:val="both"/>
        <w:rPr>
          <w:rFonts w:ascii="Garamond" w:eastAsia="Times New Roman" w:hAnsi="Garamond" w:cs="Times New Roman"/>
          <w:sz w:val="24"/>
          <w:szCs w:val="24"/>
          <w:lang w:eastAsia="it-IT"/>
        </w:rPr>
      </w:pPr>
      <w:r w:rsidRPr="00AE1D32">
        <w:rPr>
          <w:rFonts w:ascii="Garamond" w:eastAsia="Times New Roman" w:hAnsi="Garamond" w:cs="Times New Roman"/>
          <w:sz w:val="24"/>
          <w:szCs w:val="24"/>
          <w:lang w:eastAsia="it-IT"/>
        </w:rPr>
        <w:t>7.- Nel merito il ricorso non è meritevole di accoglimento.</w:t>
      </w:r>
    </w:p>
    <w:p w:rsidR="00AE1D32" w:rsidRPr="00AE1D32" w:rsidRDefault="00AE1D32" w:rsidP="00AE1D32">
      <w:pPr>
        <w:spacing w:after="0" w:line="520" w:lineRule="atLeast"/>
        <w:jc w:val="both"/>
        <w:rPr>
          <w:rFonts w:ascii="Garamond" w:eastAsia="Times New Roman" w:hAnsi="Garamond" w:cs="Times New Roman"/>
          <w:sz w:val="24"/>
          <w:szCs w:val="24"/>
          <w:lang w:eastAsia="it-IT"/>
        </w:rPr>
      </w:pPr>
      <w:r w:rsidRPr="00AE1D32">
        <w:rPr>
          <w:rFonts w:ascii="Garamond" w:eastAsia="Times New Roman" w:hAnsi="Garamond" w:cs="Times New Roman"/>
          <w:sz w:val="24"/>
          <w:szCs w:val="24"/>
          <w:lang w:eastAsia="it-IT"/>
        </w:rPr>
        <w:t>8.- L’art. 11 del d.l. n. 1 del 2012, convertito con l. n. 27 del 2012, ha stabilito che «</w:t>
      </w:r>
      <w:r w:rsidRPr="00AE1D32">
        <w:rPr>
          <w:rFonts w:ascii="Garamond" w:eastAsia="Times New Roman" w:hAnsi="Garamond" w:cs="Times New Roman"/>
          <w:i/>
          <w:iCs/>
          <w:sz w:val="24"/>
          <w:szCs w:val="24"/>
          <w:lang w:eastAsia="it-IT"/>
        </w:rPr>
        <w:t>Al fine di favorire l'accesso alla titolarità delle farmacie da parte di un più ampio numero di aspiranti, aventi i requisiti di legge, nonché di favorire le procedure per l'apertura di nuove sedi farmaceutiche garantendo al contempo una più capillare presenza sul territorio del servizio farmaceutico, alla legge 2 aprile 1968, n. 475, e successive modificazioni, sono apportate le seguenti modificazioni: […]. “Ogni comune deve avere un numero di farmacie in rapporto a quanto disposto dall'articolo 1. Al fine di assicurare una maggiore accessibilità al servizio farmaceutico, il comune, sentiti l'azienda sanitaria e l'Ordine provinciale dei farmacisti competente per territorio, identifica le zone nelle quali collocare le nuove farmacie, al fine di assicurare un'equa distribuzione sul territorio, tenendo altresì conto dell'esigenza di garantire l'accessibilità del servizio farmaceutico anche a quei cittadini residenti in aree scarsamente abitate. […]Il numero di farmacie spettanti a ciascun comune è sottoposto a revisione entro il mese di dicembre di ogni anno pari, in base alle rilevazioni della popolazione residente nel comune, pubblicate dall'Istituto nazionale di statistica. […]” Ciascun comune, sulla base dei dati ISTAT sulla popolazione residente al 31 dicembre 2010 e dei parametri di cui al comma 1, individua le nuove sedi farmaceutiche disponibili nel proprio territorio e invia i dati alla regione entro e non oltre trenta giorni dalla data di entrata in vigore della legge di conversione del presente decreto. […] Le regioni […]entro dodici mesi dalla data di entrata in vigore della legge di conversione del presente decreto, la conclusione del concorso straordinario e l'assegnazione delle sedi farmaceutiche disponibili di cui al comma 2 e di quelle vacanti […]».</w:t>
      </w:r>
    </w:p>
    <w:p w:rsidR="00AE1D32" w:rsidRPr="00AE1D32" w:rsidRDefault="00AE1D32" w:rsidP="00AE1D32">
      <w:pPr>
        <w:spacing w:after="0" w:line="520" w:lineRule="atLeast"/>
        <w:jc w:val="both"/>
        <w:rPr>
          <w:rFonts w:ascii="Garamond" w:eastAsia="Times New Roman" w:hAnsi="Garamond" w:cs="Times New Roman"/>
          <w:sz w:val="24"/>
          <w:szCs w:val="24"/>
          <w:lang w:eastAsia="it-IT"/>
        </w:rPr>
      </w:pPr>
      <w:r w:rsidRPr="00AE1D32">
        <w:rPr>
          <w:rFonts w:ascii="Garamond" w:eastAsia="Times New Roman" w:hAnsi="Garamond" w:cs="Times New Roman"/>
          <w:i/>
          <w:iCs/>
          <w:sz w:val="24"/>
          <w:szCs w:val="24"/>
          <w:lang w:eastAsia="it-IT"/>
        </w:rPr>
        <w:t xml:space="preserve">9. La finalità delle </w:t>
      </w:r>
      <w:proofErr w:type="spellStart"/>
      <w:r w:rsidRPr="00AE1D32">
        <w:rPr>
          <w:rFonts w:ascii="Garamond" w:eastAsia="Times New Roman" w:hAnsi="Garamond" w:cs="Times New Roman"/>
          <w:i/>
          <w:iCs/>
          <w:sz w:val="24"/>
          <w:szCs w:val="24"/>
          <w:lang w:eastAsia="it-IT"/>
        </w:rPr>
        <w:t>surrichiamate</w:t>
      </w:r>
      <w:proofErr w:type="spellEnd"/>
      <w:r w:rsidRPr="00AE1D32">
        <w:rPr>
          <w:rFonts w:ascii="Garamond" w:eastAsia="Times New Roman" w:hAnsi="Garamond" w:cs="Times New Roman"/>
          <w:i/>
          <w:iCs/>
          <w:sz w:val="24"/>
          <w:szCs w:val="24"/>
          <w:lang w:eastAsia="it-IT"/>
        </w:rPr>
        <w:t xml:space="preserve"> nuove disposizioni è, fondamentalmente, quella di garantire una più capillare presenza di farmacie; un’assistenza farmaceutica adeguata alle esigenze della popolazione; nonché di «assicurare un'equa distribuzione sul territorio, tenendo altresì conto dell'esigenza di garantire l'accessibilità del servizio farmaceutico anche a quei cittadini residenti in aree scarsamente abitate»</w:t>
      </w:r>
      <w:r w:rsidRPr="00AE1D32">
        <w:rPr>
          <w:rFonts w:ascii="Garamond" w:eastAsia="Times New Roman" w:hAnsi="Garamond" w:cs="Times New Roman"/>
          <w:sz w:val="24"/>
          <w:szCs w:val="24"/>
          <w:lang w:eastAsia="it-IT"/>
        </w:rPr>
        <w:t>.</w:t>
      </w:r>
    </w:p>
    <w:p w:rsidR="00AE1D32" w:rsidRPr="00AE1D32" w:rsidRDefault="00AE1D32" w:rsidP="00AE1D32">
      <w:pPr>
        <w:spacing w:after="0" w:line="520" w:lineRule="atLeast"/>
        <w:jc w:val="both"/>
        <w:rPr>
          <w:rFonts w:ascii="Garamond" w:eastAsia="Times New Roman" w:hAnsi="Garamond" w:cs="Times New Roman"/>
          <w:sz w:val="24"/>
          <w:szCs w:val="24"/>
          <w:lang w:eastAsia="it-IT"/>
        </w:rPr>
      </w:pPr>
      <w:r w:rsidRPr="00AE1D32">
        <w:rPr>
          <w:rFonts w:ascii="Garamond" w:eastAsia="Times New Roman" w:hAnsi="Garamond" w:cs="Times New Roman"/>
          <w:sz w:val="24"/>
          <w:szCs w:val="24"/>
          <w:lang w:eastAsia="it-IT"/>
        </w:rPr>
        <w:t>9-. In linea generale, sotto il profilo del sindacato di legittimità delle scelte del Comune, il Collegio osserva che l’individuazione delle farmacie di nuova istituzione, così come la revisione complessiva della pianta organica, costituisce scelta che ricade nell’esercizio della discrezionalità tecnica dell’amministrazione procedente, nell’ottica della migliore realizzazione degli interessi pubblici sottesi, preordinati a garantire accessibilità e fruibilità del servizio ed una conseguente equa distribuzione delle farmacie sul territorio.</w:t>
      </w:r>
    </w:p>
    <w:p w:rsidR="00AE1D32" w:rsidRPr="00AE1D32" w:rsidRDefault="00AE1D32" w:rsidP="00AE1D32">
      <w:pPr>
        <w:spacing w:after="0" w:line="520" w:lineRule="atLeast"/>
        <w:jc w:val="both"/>
        <w:rPr>
          <w:rFonts w:ascii="Garamond" w:eastAsia="Times New Roman" w:hAnsi="Garamond" w:cs="Times New Roman"/>
          <w:sz w:val="24"/>
          <w:szCs w:val="24"/>
          <w:lang w:eastAsia="it-IT"/>
        </w:rPr>
      </w:pPr>
      <w:r w:rsidRPr="00AE1D32">
        <w:rPr>
          <w:rFonts w:ascii="Garamond" w:eastAsia="Times New Roman" w:hAnsi="Garamond" w:cs="Times New Roman"/>
          <w:sz w:val="24"/>
          <w:szCs w:val="24"/>
          <w:lang w:eastAsia="it-IT"/>
        </w:rPr>
        <w:t>In quanto tale, simile determinazione pubblicistica, non può che ritenersi soggetta al controllo di legittimità entro i consueti limiti propri del sindacato giurisdizionale sugli atti di discrezionalità tecnica.</w:t>
      </w:r>
    </w:p>
    <w:p w:rsidR="00AE1D32" w:rsidRPr="00AE1D32" w:rsidRDefault="00AE1D32" w:rsidP="00AE1D32">
      <w:pPr>
        <w:spacing w:after="0" w:line="520" w:lineRule="atLeast"/>
        <w:jc w:val="both"/>
        <w:rPr>
          <w:rFonts w:ascii="Garamond" w:eastAsia="Times New Roman" w:hAnsi="Garamond" w:cs="Times New Roman"/>
          <w:sz w:val="24"/>
          <w:szCs w:val="24"/>
          <w:lang w:eastAsia="it-IT"/>
        </w:rPr>
      </w:pPr>
      <w:r w:rsidRPr="00AE1D32">
        <w:rPr>
          <w:rFonts w:ascii="Garamond" w:eastAsia="Times New Roman" w:hAnsi="Garamond" w:cs="Times New Roman"/>
          <w:sz w:val="24"/>
          <w:szCs w:val="24"/>
          <w:lang w:eastAsia="it-IT"/>
        </w:rPr>
        <w:t xml:space="preserve">L’inquadramento dell’atto comunale in esame tra quelli a contenuto </w:t>
      </w:r>
      <w:proofErr w:type="spellStart"/>
      <w:r w:rsidRPr="00AE1D32">
        <w:rPr>
          <w:rFonts w:ascii="Garamond" w:eastAsia="Times New Roman" w:hAnsi="Garamond" w:cs="Times New Roman"/>
          <w:sz w:val="24"/>
          <w:szCs w:val="24"/>
          <w:lang w:eastAsia="it-IT"/>
        </w:rPr>
        <w:t>programmatorio</w:t>
      </w:r>
      <w:proofErr w:type="spellEnd"/>
      <w:r w:rsidRPr="00AE1D32">
        <w:rPr>
          <w:rFonts w:ascii="Garamond" w:eastAsia="Times New Roman" w:hAnsi="Garamond" w:cs="Times New Roman"/>
          <w:sz w:val="24"/>
          <w:szCs w:val="24"/>
          <w:lang w:eastAsia="it-IT"/>
        </w:rPr>
        <w:t xml:space="preserve"> o </w:t>
      </w:r>
      <w:proofErr w:type="spellStart"/>
      <w:r w:rsidRPr="00AE1D32">
        <w:rPr>
          <w:rFonts w:ascii="Garamond" w:eastAsia="Times New Roman" w:hAnsi="Garamond" w:cs="Times New Roman"/>
          <w:sz w:val="24"/>
          <w:szCs w:val="24"/>
          <w:lang w:eastAsia="it-IT"/>
        </w:rPr>
        <w:t>pianificatorio</w:t>
      </w:r>
      <w:proofErr w:type="spellEnd"/>
      <w:r w:rsidRPr="00AE1D32">
        <w:rPr>
          <w:rFonts w:ascii="Garamond" w:eastAsia="Times New Roman" w:hAnsi="Garamond" w:cs="Times New Roman"/>
          <w:sz w:val="24"/>
          <w:szCs w:val="24"/>
          <w:lang w:eastAsia="it-IT"/>
        </w:rPr>
        <w:t>, comporta - quale ulteriore conseguenza - che il medesimo, essendo connotato da ampia discrezionalità, può essere censurato, sotto il profilo contenutistico, soltanto per evidente e grave irragionevolezza.</w:t>
      </w:r>
    </w:p>
    <w:p w:rsidR="00AE1D32" w:rsidRPr="00AE1D32" w:rsidRDefault="00AE1D32" w:rsidP="00AE1D32">
      <w:pPr>
        <w:spacing w:after="0" w:line="520" w:lineRule="atLeast"/>
        <w:jc w:val="both"/>
        <w:rPr>
          <w:rFonts w:ascii="Garamond" w:eastAsia="Times New Roman" w:hAnsi="Garamond" w:cs="Times New Roman"/>
          <w:sz w:val="24"/>
          <w:szCs w:val="24"/>
          <w:lang w:eastAsia="it-IT"/>
        </w:rPr>
      </w:pPr>
      <w:r w:rsidRPr="00AE1D32">
        <w:rPr>
          <w:rFonts w:ascii="Garamond" w:eastAsia="Times New Roman" w:hAnsi="Garamond" w:cs="Times New Roman"/>
          <w:sz w:val="24"/>
          <w:szCs w:val="24"/>
          <w:lang w:eastAsia="it-IT"/>
        </w:rPr>
        <w:t>10.- I punti focali delle doglianze mosse dalla ricorrente vertono su plurimi aspetti della vicenda procedimentale. Più specificamente, essa deduce che:</w:t>
      </w:r>
    </w:p>
    <w:p w:rsidR="00AE1D32" w:rsidRPr="00AE1D32" w:rsidRDefault="00AE1D32" w:rsidP="00AE1D32">
      <w:pPr>
        <w:spacing w:after="0" w:line="520" w:lineRule="atLeast"/>
        <w:jc w:val="both"/>
        <w:rPr>
          <w:rFonts w:ascii="Garamond" w:eastAsia="Times New Roman" w:hAnsi="Garamond" w:cs="Times New Roman"/>
          <w:sz w:val="24"/>
          <w:szCs w:val="24"/>
          <w:lang w:eastAsia="it-IT"/>
        </w:rPr>
      </w:pPr>
      <w:r w:rsidRPr="00AE1D32">
        <w:rPr>
          <w:rFonts w:ascii="Garamond" w:eastAsia="Times New Roman" w:hAnsi="Garamond" w:cs="Times New Roman"/>
          <w:sz w:val="24"/>
          <w:szCs w:val="24"/>
          <w:lang w:eastAsia="it-IT"/>
        </w:rPr>
        <w:t>a) l’</w:t>
      </w:r>
      <w:proofErr w:type="spellStart"/>
      <w:r w:rsidRPr="00AE1D32">
        <w:rPr>
          <w:rFonts w:ascii="Garamond" w:eastAsia="Times New Roman" w:hAnsi="Garamond" w:cs="Times New Roman"/>
          <w:sz w:val="24"/>
          <w:szCs w:val="24"/>
          <w:lang w:eastAsia="it-IT"/>
        </w:rPr>
        <w:t>A.S.P.</w:t>
      </w:r>
      <w:proofErr w:type="spellEnd"/>
      <w:r w:rsidRPr="00AE1D32">
        <w:rPr>
          <w:rFonts w:ascii="Garamond" w:eastAsia="Times New Roman" w:hAnsi="Garamond" w:cs="Times New Roman"/>
          <w:sz w:val="24"/>
          <w:szCs w:val="24"/>
          <w:lang w:eastAsia="it-IT"/>
        </w:rPr>
        <w:t xml:space="preserve"> di Palermo e l’Ordine dei farmacisti hanno espresso parere negativo sull’istituzione della nuova sede in via </w:t>
      </w:r>
      <w:proofErr w:type="spellStart"/>
      <w:r w:rsidRPr="00AE1D32">
        <w:rPr>
          <w:rFonts w:ascii="Garamond" w:eastAsia="Times New Roman" w:hAnsi="Garamond" w:cs="Times New Roman"/>
          <w:sz w:val="24"/>
          <w:szCs w:val="24"/>
          <w:lang w:eastAsia="it-IT"/>
        </w:rPr>
        <w:t>Villagrazia</w:t>
      </w:r>
      <w:proofErr w:type="spellEnd"/>
      <w:r w:rsidRPr="00AE1D32">
        <w:rPr>
          <w:rFonts w:ascii="Garamond" w:eastAsia="Times New Roman" w:hAnsi="Garamond" w:cs="Times New Roman"/>
          <w:sz w:val="24"/>
          <w:szCs w:val="24"/>
          <w:lang w:eastAsia="it-IT"/>
        </w:rPr>
        <w:t xml:space="preserve"> e che detti pareri sarebbero stati immotivatamente disattesi dal Comune;</w:t>
      </w:r>
    </w:p>
    <w:p w:rsidR="00AE1D32" w:rsidRPr="00AE1D32" w:rsidRDefault="00AE1D32" w:rsidP="00AE1D32">
      <w:pPr>
        <w:spacing w:after="0" w:line="520" w:lineRule="atLeast"/>
        <w:jc w:val="both"/>
        <w:rPr>
          <w:rFonts w:ascii="Garamond" w:eastAsia="Times New Roman" w:hAnsi="Garamond" w:cs="Times New Roman"/>
          <w:sz w:val="24"/>
          <w:szCs w:val="24"/>
          <w:lang w:eastAsia="it-IT"/>
        </w:rPr>
      </w:pPr>
      <w:r w:rsidRPr="00AE1D32">
        <w:rPr>
          <w:rFonts w:ascii="Garamond" w:eastAsia="Times New Roman" w:hAnsi="Garamond" w:cs="Times New Roman"/>
          <w:sz w:val="24"/>
          <w:szCs w:val="24"/>
          <w:lang w:eastAsia="it-IT"/>
        </w:rPr>
        <w:t xml:space="preserve">b) la bassa densità demografica della zona in argomento non giustificherebbe l’istituzione di una nuova farmacia in via </w:t>
      </w:r>
      <w:proofErr w:type="spellStart"/>
      <w:r w:rsidRPr="00AE1D32">
        <w:rPr>
          <w:rFonts w:ascii="Garamond" w:eastAsia="Times New Roman" w:hAnsi="Garamond" w:cs="Times New Roman"/>
          <w:sz w:val="24"/>
          <w:szCs w:val="24"/>
          <w:lang w:eastAsia="it-IT"/>
        </w:rPr>
        <w:t>Villagrazia</w:t>
      </w:r>
      <w:proofErr w:type="spellEnd"/>
      <w:r w:rsidRPr="00AE1D32">
        <w:rPr>
          <w:rFonts w:ascii="Garamond" w:eastAsia="Times New Roman" w:hAnsi="Garamond" w:cs="Times New Roman"/>
          <w:sz w:val="24"/>
          <w:szCs w:val="24"/>
          <w:lang w:eastAsia="it-IT"/>
        </w:rPr>
        <w:t xml:space="preserve">, circostanza, questa, in tesi oggettivamente rilevabile dal numero di ricette spedite al </w:t>
      </w:r>
      <w:proofErr w:type="spellStart"/>
      <w:r w:rsidRPr="00AE1D32">
        <w:rPr>
          <w:rFonts w:ascii="Garamond" w:eastAsia="Times New Roman" w:hAnsi="Garamond" w:cs="Times New Roman"/>
          <w:sz w:val="24"/>
          <w:szCs w:val="24"/>
          <w:lang w:eastAsia="it-IT"/>
        </w:rPr>
        <w:t>S.S.R.</w:t>
      </w:r>
      <w:proofErr w:type="spellEnd"/>
      <w:r w:rsidRPr="00AE1D32">
        <w:rPr>
          <w:rFonts w:ascii="Garamond" w:eastAsia="Times New Roman" w:hAnsi="Garamond" w:cs="Times New Roman"/>
          <w:sz w:val="24"/>
          <w:szCs w:val="24"/>
          <w:lang w:eastAsia="it-IT"/>
        </w:rPr>
        <w:t xml:space="preserve"> (Servizio sanitario regionale) dalla Farmacia </w:t>
      </w:r>
      <w:proofErr w:type="spellStart"/>
      <w:r w:rsidRPr="00AE1D32">
        <w:rPr>
          <w:rFonts w:ascii="Garamond" w:eastAsia="Times New Roman" w:hAnsi="Garamond" w:cs="Times New Roman"/>
          <w:sz w:val="24"/>
          <w:szCs w:val="24"/>
          <w:lang w:eastAsia="it-IT"/>
        </w:rPr>
        <w:t>Mandalà</w:t>
      </w:r>
      <w:proofErr w:type="spellEnd"/>
      <w:r w:rsidRPr="00AE1D32">
        <w:rPr>
          <w:rFonts w:ascii="Garamond" w:eastAsia="Times New Roman" w:hAnsi="Garamond" w:cs="Times New Roman"/>
          <w:sz w:val="24"/>
          <w:szCs w:val="24"/>
          <w:lang w:eastAsia="it-IT"/>
        </w:rPr>
        <w:t xml:space="preserve"> (e quantificate in n. 44.800) in rapporto a quelle della Farmacia </w:t>
      </w:r>
      <w:proofErr w:type="spellStart"/>
      <w:r w:rsidRPr="00AE1D32">
        <w:rPr>
          <w:rFonts w:ascii="Garamond" w:eastAsia="Times New Roman" w:hAnsi="Garamond" w:cs="Times New Roman"/>
          <w:sz w:val="24"/>
          <w:szCs w:val="24"/>
          <w:lang w:eastAsia="it-IT"/>
        </w:rPr>
        <w:t>Listro</w:t>
      </w:r>
      <w:proofErr w:type="spellEnd"/>
      <w:r w:rsidRPr="00AE1D32">
        <w:rPr>
          <w:rFonts w:ascii="Garamond" w:eastAsia="Times New Roman" w:hAnsi="Garamond" w:cs="Times New Roman"/>
          <w:sz w:val="24"/>
          <w:szCs w:val="24"/>
          <w:lang w:eastAsia="it-IT"/>
        </w:rPr>
        <w:t>, operante a valle del viale Regione Siciliana (quantificate in n. 140.490);</w:t>
      </w:r>
    </w:p>
    <w:p w:rsidR="00AE1D32" w:rsidRPr="00AE1D32" w:rsidRDefault="00AE1D32" w:rsidP="00AE1D32">
      <w:pPr>
        <w:spacing w:after="0" w:line="520" w:lineRule="atLeast"/>
        <w:jc w:val="both"/>
        <w:rPr>
          <w:rFonts w:ascii="Garamond" w:eastAsia="Times New Roman" w:hAnsi="Garamond" w:cs="Times New Roman"/>
          <w:sz w:val="24"/>
          <w:szCs w:val="24"/>
          <w:lang w:eastAsia="it-IT"/>
        </w:rPr>
      </w:pPr>
      <w:r w:rsidRPr="00AE1D32">
        <w:rPr>
          <w:rFonts w:ascii="Garamond" w:eastAsia="Times New Roman" w:hAnsi="Garamond" w:cs="Times New Roman"/>
          <w:sz w:val="24"/>
          <w:szCs w:val="24"/>
          <w:lang w:eastAsia="it-IT"/>
        </w:rPr>
        <w:t xml:space="preserve">c) il dato </w:t>
      </w:r>
      <w:proofErr w:type="spellStart"/>
      <w:r w:rsidRPr="00AE1D32">
        <w:rPr>
          <w:rFonts w:ascii="Garamond" w:eastAsia="Times New Roman" w:hAnsi="Garamond" w:cs="Times New Roman"/>
          <w:sz w:val="24"/>
          <w:szCs w:val="24"/>
          <w:lang w:eastAsia="it-IT"/>
        </w:rPr>
        <w:t>morfologico-territoriale</w:t>
      </w:r>
      <w:proofErr w:type="spellEnd"/>
      <w:r w:rsidRPr="00AE1D32">
        <w:rPr>
          <w:rFonts w:ascii="Garamond" w:eastAsia="Times New Roman" w:hAnsi="Garamond" w:cs="Times New Roman"/>
          <w:sz w:val="24"/>
          <w:szCs w:val="24"/>
          <w:lang w:eastAsia="it-IT"/>
        </w:rPr>
        <w:t xml:space="preserve"> sconsiglierebbe l’istituzione della nuova farmacia poiché l’asse viario di via </w:t>
      </w:r>
      <w:proofErr w:type="spellStart"/>
      <w:r w:rsidRPr="00AE1D32">
        <w:rPr>
          <w:rFonts w:ascii="Garamond" w:eastAsia="Times New Roman" w:hAnsi="Garamond" w:cs="Times New Roman"/>
          <w:sz w:val="24"/>
          <w:szCs w:val="24"/>
          <w:lang w:eastAsia="it-IT"/>
        </w:rPr>
        <w:t>Villagrazia</w:t>
      </w:r>
      <w:proofErr w:type="spellEnd"/>
      <w:r w:rsidRPr="00AE1D32">
        <w:rPr>
          <w:rFonts w:ascii="Garamond" w:eastAsia="Times New Roman" w:hAnsi="Garamond" w:cs="Times New Roman"/>
          <w:sz w:val="24"/>
          <w:szCs w:val="24"/>
          <w:lang w:eastAsia="it-IT"/>
        </w:rPr>
        <w:t xml:space="preserve"> è circondato solo da terreni agricoli e agli estremi della strada insistono le due farmacie esistenti, facilmente raggiungibili;</w:t>
      </w:r>
    </w:p>
    <w:p w:rsidR="00AE1D32" w:rsidRPr="00AE1D32" w:rsidRDefault="00AE1D32" w:rsidP="00AE1D32">
      <w:pPr>
        <w:spacing w:after="0" w:line="520" w:lineRule="atLeast"/>
        <w:jc w:val="both"/>
        <w:rPr>
          <w:rFonts w:ascii="Garamond" w:eastAsia="Times New Roman" w:hAnsi="Garamond" w:cs="Times New Roman"/>
          <w:sz w:val="24"/>
          <w:szCs w:val="24"/>
          <w:lang w:eastAsia="it-IT"/>
        </w:rPr>
      </w:pPr>
      <w:r w:rsidRPr="00AE1D32">
        <w:rPr>
          <w:rFonts w:ascii="Garamond" w:eastAsia="Times New Roman" w:hAnsi="Garamond" w:cs="Times New Roman"/>
          <w:sz w:val="24"/>
          <w:szCs w:val="24"/>
          <w:lang w:eastAsia="it-IT"/>
        </w:rPr>
        <w:t xml:space="preserve">d) con l’istituzione di un’ulteriore farmacia in via </w:t>
      </w:r>
      <w:proofErr w:type="spellStart"/>
      <w:r w:rsidRPr="00AE1D32">
        <w:rPr>
          <w:rFonts w:ascii="Garamond" w:eastAsia="Times New Roman" w:hAnsi="Garamond" w:cs="Times New Roman"/>
          <w:sz w:val="24"/>
          <w:szCs w:val="24"/>
          <w:lang w:eastAsia="it-IT"/>
        </w:rPr>
        <w:t>Villagrazia</w:t>
      </w:r>
      <w:proofErr w:type="spellEnd"/>
      <w:r w:rsidRPr="00AE1D32">
        <w:rPr>
          <w:rFonts w:ascii="Garamond" w:eastAsia="Times New Roman" w:hAnsi="Garamond" w:cs="Times New Roman"/>
          <w:sz w:val="24"/>
          <w:szCs w:val="24"/>
          <w:lang w:eastAsia="it-IT"/>
        </w:rPr>
        <w:t>, il rapporto popolazione - farmacie verrebbe ridotto a 2.400 residenti teorici per farmacia, in (asserita) violazione del parametro di una farmacia ogni 3.300 abitanti;</w:t>
      </w:r>
    </w:p>
    <w:p w:rsidR="00AE1D32" w:rsidRPr="00AE1D32" w:rsidRDefault="00AE1D32" w:rsidP="00AE1D32">
      <w:pPr>
        <w:spacing w:after="0" w:line="520" w:lineRule="atLeast"/>
        <w:jc w:val="both"/>
        <w:rPr>
          <w:rFonts w:ascii="Garamond" w:eastAsia="Times New Roman" w:hAnsi="Garamond" w:cs="Times New Roman"/>
          <w:sz w:val="24"/>
          <w:szCs w:val="24"/>
          <w:lang w:eastAsia="it-IT"/>
        </w:rPr>
      </w:pPr>
      <w:r w:rsidRPr="00AE1D32">
        <w:rPr>
          <w:rFonts w:ascii="Garamond" w:eastAsia="Times New Roman" w:hAnsi="Garamond" w:cs="Times New Roman"/>
          <w:sz w:val="24"/>
          <w:szCs w:val="24"/>
          <w:lang w:eastAsia="it-IT"/>
        </w:rPr>
        <w:t xml:space="preserve">e) la zona adiacente ed i confini comunali sarebbero interessati dall’istituzione di nuove sedi (via </w:t>
      </w:r>
      <w:proofErr w:type="spellStart"/>
      <w:r w:rsidRPr="00AE1D32">
        <w:rPr>
          <w:rFonts w:ascii="Garamond" w:eastAsia="Times New Roman" w:hAnsi="Garamond" w:cs="Times New Roman"/>
          <w:sz w:val="24"/>
          <w:szCs w:val="24"/>
          <w:lang w:eastAsia="it-IT"/>
        </w:rPr>
        <w:t>Aloi</w:t>
      </w:r>
      <w:proofErr w:type="spellEnd"/>
      <w:r w:rsidRPr="00AE1D32">
        <w:rPr>
          <w:rFonts w:ascii="Garamond" w:eastAsia="Times New Roman" w:hAnsi="Garamond" w:cs="Times New Roman"/>
          <w:sz w:val="24"/>
          <w:szCs w:val="24"/>
          <w:lang w:eastAsia="it-IT"/>
        </w:rPr>
        <w:t xml:space="preserve">, </w:t>
      </w:r>
      <w:proofErr w:type="spellStart"/>
      <w:r w:rsidRPr="00AE1D32">
        <w:rPr>
          <w:rFonts w:ascii="Garamond" w:eastAsia="Times New Roman" w:hAnsi="Garamond" w:cs="Times New Roman"/>
          <w:sz w:val="24"/>
          <w:szCs w:val="24"/>
          <w:lang w:eastAsia="it-IT"/>
        </w:rPr>
        <w:t>Villaciambra</w:t>
      </w:r>
      <w:proofErr w:type="spellEnd"/>
      <w:r w:rsidRPr="00AE1D32">
        <w:rPr>
          <w:rFonts w:ascii="Garamond" w:eastAsia="Times New Roman" w:hAnsi="Garamond" w:cs="Times New Roman"/>
          <w:sz w:val="24"/>
          <w:szCs w:val="24"/>
          <w:lang w:eastAsia="it-IT"/>
        </w:rPr>
        <w:t xml:space="preserve"> e Piano Maglio);</w:t>
      </w:r>
    </w:p>
    <w:p w:rsidR="00AE1D32" w:rsidRPr="00AE1D32" w:rsidRDefault="00AE1D32" w:rsidP="00AE1D32">
      <w:pPr>
        <w:spacing w:after="0" w:line="520" w:lineRule="atLeast"/>
        <w:jc w:val="both"/>
        <w:rPr>
          <w:rFonts w:ascii="Garamond" w:eastAsia="Times New Roman" w:hAnsi="Garamond" w:cs="Times New Roman"/>
          <w:sz w:val="24"/>
          <w:szCs w:val="24"/>
          <w:lang w:eastAsia="it-IT"/>
        </w:rPr>
      </w:pPr>
      <w:r w:rsidRPr="00AE1D32">
        <w:rPr>
          <w:rFonts w:ascii="Garamond" w:eastAsia="Times New Roman" w:hAnsi="Garamond" w:cs="Times New Roman"/>
          <w:sz w:val="24"/>
          <w:szCs w:val="24"/>
          <w:lang w:eastAsia="it-IT"/>
        </w:rPr>
        <w:t>e) i dati statistici utilizzati dal Comune di Palermo sarebbero imprecisi e provenienti da fonte incerta.</w:t>
      </w:r>
    </w:p>
    <w:p w:rsidR="00AE1D32" w:rsidRPr="00AE1D32" w:rsidRDefault="00AE1D32" w:rsidP="00AE1D32">
      <w:pPr>
        <w:spacing w:after="0" w:line="520" w:lineRule="atLeast"/>
        <w:jc w:val="both"/>
        <w:rPr>
          <w:rFonts w:ascii="Garamond" w:eastAsia="Times New Roman" w:hAnsi="Garamond" w:cs="Times New Roman"/>
          <w:sz w:val="24"/>
          <w:szCs w:val="24"/>
          <w:lang w:eastAsia="it-IT"/>
        </w:rPr>
      </w:pPr>
      <w:r w:rsidRPr="00AE1D32">
        <w:rPr>
          <w:rFonts w:ascii="Garamond" w:eastAsia="Times New Roman" w:hAnsi="Garamond" w:cs="Times New Roman"/>
          <w:sz w:val="24"/>
          <w:szCs w:val="24"/>
          <w:lang w:eastAsia="it-IT"/>
        </w:rPr>
        <w:t xml:space="preserve">11.- Ciò detto, la scelta del Comune di Palermo di allocare una nuova farmacia in via </w:t>
      </w:r>
      <w:proofErr w:type="spellStart"/>
      <w:r w:rsidRPr="00AE1D32">
        <w:rPr>
          <w:rFonts w:ascii="Garamond" w:eastAsia="Times New Roman" w:hAnsi="Garamond" w:cs="Times New Roman"/>
          <w:sz w:val="24"/>
          <w:szCs w:val="24"/>
          <w:lang w:eastAsia="it-IT"/>
        </w:rPr>
        <w:t>Villagrazia</w:t>
      </w:r>
      <w:proofErr w:type="spellEnd"/>
      <w:r w:rsidRPr="00AE1D32">
        <w:rPr>
          <w:rFonts w:ascii="Garamond" w:eastAsia="Times New Roman" w:hAnsi="Garamond" w:cs="Times New Roman"/>
          <w:sz w:val="24"/>
          <w:szCs w:val="24"/>
          <w:lang w:eastAsia="it-IT"/>
        </w:rPr>
        <w:t xml:space="preserve"> non si manifesta, come di seguito si vedrà, né illogica né irragionevole, né, ancora, risulta porsi in contrasto con gli specifici parametri ai quali il Comune si è </w:t>
      </w:r>
      <w:proofErr w:type="spellStart"/>
      <w:r w:rsidRPr="00AE1D32">
        <w:rPr>
          <w:rFonts w:ascii="Garamond" w:eastAsia="Times New Roman" w:hAnsi="Garamond" w:cs="Times New Roman"/>
          <w:sz w:val="24"/>
          <w:szCs w:val="24"/>
          <w:lang w:eastAsia="it-IT"/>
        </w:rPr>
        <w:t>autovincolato</w:t>
      </w:r>
      <w:proofErr w:type="spellEnd"/>
      <w:r w:rsidRPr="00AE1D32">
        <w:rPr>
          <w:rFonts w:ascii="Garamond" w:eastAsia="Times New Roman" w:hAnsi="Garamond" w:cs="Times New Roman"/>
          <w:sz w:val="24"/>
          <w:szCs w:val="24"/>
          <w:lang w:eastAsia="it-IT"/>
        </w:rPr>
        <w:t>.</w:t>
      </w:r>
    </w:p>
    <w:p w:rsidR="00AE1D32" w:rsidRPr="00AE1D32" w:rsidRDefault="00AE1D32" w:rsidP="00AE1D32">
      <w:pPr>
        <w:spacing w:after="0" w:line="520" w:lineRule="atLeast"/>
        <w:jc w:val="both"/>
        <w:rPr>
          <w:rFonts w:ascii="Garamond" w:eastAsia="Times New Roman" w:hAnsi="Garamond" w:cs="Times New Roman"/>
          <w:sz w:val="24"/>
          <w:szCs w:val="24"/>
          <w:lang w:eastAsia="it-IT"/>
        </w:rPr>
      </w:pPr>
      <w:r w:rsidRPr="00AE1D32">
        <w:rPr>
          <w:rFonts w:ascii="Garamond" w:eastAsia="Times New Roman" w:hAnsi="Garamond" w:cs="Times New Roman"/>
          <w:sz w:val="24"/>
          <w:szCs w:val="24"/>
          <w:lang w:eastAsia="it-IT"/>
        </w:rPr>
        <w:t xml:space="preserve">12.- Preliminarmente va sgomberato il campo da ogni dubbio sulla correttezza dell’iter procedimentale seguito dall’Amministrazione.. </w:t>
      </w:r>
    </w:p>
    <w:p w:rsidR="00AE1D32" w:rsidRPr="00AE1D32" w:rsidRDefault="00AE1D32" w:rsidP="00AE1D32">
      <w:pPr>
        <w:spacing w:after="0" w:line="520" w:lineRule="atLeast"/>
        <w:jc w:val="both"/>
        <w:rPr>
          <w:rFonts w:ascii="Garamond" w:eastAsia="Times New Roman" w:hAnsi="Garamond" w:cs="Times New Roman"/>
          <w:sz w:val="24"/>
          <w:szCs w:val="24"/>
          <w:lang w:eastAsia="it-IT"/>
        </w:rPr>
      </w:pPr>
      <w:r w:rsidRPr="00AE1D32">
        <w:rPr>
          <w:rFonts w:ascii="Garamond" w:eastAsia="Times New Roman" w:hAnsi="Garamond" w:cs="Times New Roman"/>
          <w:sz w:val="24"/>
          <w:szCs w:val="24"/>
          <w:lang w:eastAsia="it-IT"/>
        </w:rPr>
        <w:t>Fermo restando che i pareri acquisiti dal Comune sono obbligatori ma non vincolanti, va rilevato che, secondo quanto emerge dagli atti del giudizio:</w:t>
      </w:r>
    </w:p>
    <w:p w:rsidR="00AE1D32" w:rsidRPr="00AE1D32" w:rsidRDefault="00AE1D32" w:rsidP="00AE1D32">
      <w:pPr>
        <w:spacing w:after="0" w:line="520" w:lineRule="atLeast"/>
        <w:jc w:val="both"/>
        <w:rPr>
          <w:rFonts w:ascii="Garamond" w:eastAsia="Times New Roman" w:hAnsi="Garamond" w:cs="Times New Roman"/>
          <w:sz w:val="24"/>
          <w:szCs w:val="24"/>
          <w:lang w:eastAsia="it-IT"/>
        </w:rPr>
      </w:pPr>
      <w:r w:rsidRPr="00AE1D32">
        <w:rPr>
          <w:rFonts w:ascii="Garamond" w:eastAsia="Times New Roman" w:hAnsi="Garamond" w:cs="Times New Roman"/>
          <w:sz w:val="24"/>
          <w:szCs w:val="24"/>
          <w:lang w:eastAsia="it-IT"/>
        </w:rPr>
        <w:t xml:space="preserve">- l’Ordine dei farmacisti, si è limitato ad una mera e generica richiesta di rivisitazione della localizzazione di molte delle farmacie individuate dal Comune nel senso di valorizzare le effettive esigenze di assistenza farmaceutica - ciò che, peraltro, nel caso di specie, è sostanzialmente avvenuto -; </w:t>
      </w:r>
    </w:p>
    <w:p w:rsidR="00AE1D32" w:rsidRPr="00AE1D32" w:rsidRDefault="00AE1D32" w:rsidP="00AE1D32">
      <w:pPr>
        <w:spacing w:after="0" w:line="520" w:lineRule="atLeast"/>
        <w:jc w:val="both"/>
        <w:rPr>
          <w:rFonts w:ascii="Garamond" w:eastAsia="Times New Roman" w:hAnsi="Garamond" w:cs="Times New Roman"/>
          <w:sz w:val="24"/>
          <w:szCs w:val="24"/>
          <w:lang w:eastAsia="it-IT"/>
        </w:rPr>
      </w:pPr>
      <w:r w:rsidRPr="00AE1D32">
        <w:rPr>
          <w:rFonts w:ascii="Garamond" w:eastAsia="Times New Roman" w:hAnsi="Garamond" w:cs="Times New Roman"/>
          <w:sz w:val="24"/>
          <w:szCs w:val="24"/>
          <w:lang w:eastAsia="it-IT"/>
        </w:rPr>
        <w:t>- quanto al parere dell’Azienda sanitaria non è stata efficacemente messa in dubbio l’inidoneità dei siti indicati dall’</w:t>
      </w:r>
      <w:proofErr w:type="spellStart"/>
      <w:r w:rsidRPr="00AE1D32">
        <w:rPr>
          <w:rFonts w:ascii="Garamond" w:eastAsia="Times New Roman" w:hAnsi="Garamond" w:cs="Times New Roman"/>
          <w:sz w:val="24"/>
          <w:szCs w:val="24"/>
          <w:lang w:eastAsia="it-IT"/>
        </w:rPr>
        <w:t>A.S.P.</w:t>
      </w:r>
      <w:proofErr w:type="spellEnd"/>
      <w:r w:rsidRPr="00AE1D32">
        <w:rPr>
          <w:rFonts w:ascii="Garamond" w:eastAsia="Times New Roman" w:hAnsi="Garamond" w:cs="Times New Roman"/>
          <w:sz w:val="24"/>
          <w:szCs w:val="24"/>
          <w:lang w:eastAsia="it-IT"/>
        </w:rPr>
        <w:t xml:space="preserve"> ed alternativi a quelli proposti dal Comune per la collocazione della nuova farmacia. </w:t>
      </w:r>
    </w:p>
    <w:p w:rsidR="00AE1D32" w:rsidRPr="00AE1D32" w:rsidRDefault="00AE1D32" w:rsidP="00AE1D32">
      <w:pPr>
        <w:spacing w:after="0" w:line="520" w:lineRule="atLeast"/>
        <w:jc w:val="both"/>
        <w:rPr>
          <w:rFonts w:ascii="Garamond" w:eastAsia="Times New Roman" w:hAnsi="Garamond" w:cs="Times New Roman"/>
          <w:sz w:val="24"/>
          <w:szCs w:val="24"/>
          <w:lang w:eastAsia="it-IT"/>
        </w:rPr>
      </w:pPr>
      <w:r w:rsidRPr="00AE1D32">
        <w:rPr>
          <w:rFonts w:ascii="Garamond" w:eastAsia="Times New Roman" w:hAnsi="Garamond" w:cs="Times New Roman"/>
          <w:sz w:val="24"/>
          <w:szCs w:val="24"/>
          <w:lang w:eastAsia="it-IT"/>
        </w:rPr>
        <w:t>Poiché la determinazione del Comune di mantenere la previsione originaria, anziché di spostare in altro sito - come voluto dalla ricorrente - la nuova farmacia non presenta elementi di irrazionalità ed anzi, risulta non essere incoerente con l’obiettivo di equa distribuzione e di valorizzazione delle esigenze della popolazione, il provvedimento, sotto tale profilo, resiste alle censure di parte ricorrente.</w:t>
      </w:r>
    </w:p>
    <w:p w:rsidR="00AE1D32" w:rsidRPr="00AE1D32" w:rsidRDefault="00AE1D32" w:rsidP="00AE1D32">
      <w:pPr>
        <w:spacing w:after="0" w:line="520" w:lineRule="atLeast"/>
        <w:jc w:val="both"/>
        <w:rPr>
          <w:rFonts w:ascii="Garamond" w:eastAsia="Times New Roman" w:hAnsi="Garamond" w:cs="Times New Roman"/>
          <w:sz w:val="24"/>
          <w:szCs w:val="24"/>
          <w:lang w:eastAsia="it-IT"/>
        </w:rPr>
      </w:pPr>
      <w:r w:rsidRPr="00AE1D32">
        <w:rPr>
          <w:rFonts w:ascii="Garamond" w:eastAsia="Times New Roman" w:hAnsi="Garamond" w:cs="Times New Roman"/>
          <w:sz w:val="24"/>
          <w:szCs w:val="24"/>
          <w:lang w:eastAsia="it-IT"/>
        </w:rPr>
        <w:t xml:space="preserve">13.- A miglior sorte non è destinata la doglianza circa il non corretto utilizzo dei dati statistici da parte del Comune di Palermo in base ai quali è stato determinato il riparto territoriale delle nuove farmacie. </w:t>
      </w:r>
    </w:p>
    <w:p w:rsidR="00AE1D32" w:rsidRPr="00AE1D32" w:rsidRDefault="00AE1D32" w:rsidP="00AE1D32">
      <w:pPr>
        <w:spacing w:after="0" w:line="520" w:lineRule="atLeast"/>
        <w:jc w:val="both"/>
        <w:rPr>
          <w:rFonts w:ascii="Garamond" w:eastAsia="Times New Roman" w:hAnsi="Garamond" w:cs="Times New Roman"/>
          <w:sz w:val="24"/>
          <w:szCs w:val="24"/>
          <w:lang w:eastAsia="it-IT"/>
        </w:rPr>
      </w:pPr>
      <w:r w:rsidRPr="00AE1D32">
        <w:rPr>
          <w:rFonts w:ascii="Garamond" w:eastAsia="Times New Roman" w:hAnsi="Garamond" w:cs="Times New Roman"/>
          <w:sz w:val="24"/>
          <w:szCs w:val="24"/>
          <w:lang w:eastAsia="it-IT"/>
        </w:rPr>
        <w:t>Come osservato dalla difesa dell’Amministrazione, gli uffici hanno proceduto ad un calcolo articolato del dato demografico, ripartito su livelli sub comunali, che comunque è risultato coerente con le risultanze ISTAT, sicché la correttezza del complessivo numero delle nuove farmacie non può essere utilmente messa in discussione.</w:t>
      </w:r>
    </w:p>
    <w:p w:rsidR="00AE1D32" w:rsidRPr="00AE1D32" w:rsidRDefault="00AE1D32" w:rsidP="00AE1D32">
      <w:pPr>
        <w:spacing w:after="0" w:line="520" w:lineRule="atLeast"/>
        <w:jc w:val="both"/>
        <w:rPr>
          <w:rFonts w:ascii="Garamond" w:eastAsia="Times New Roman" w:hAnsi="Garamond" w:cs="Times New Roman"/>
          <w:sz w:val="24"/>
          <w:szCs w:val="24"/>
          <w:lang w:eastAsia="it-IT"/>
        </w:rPr>
      </w:pPr>
      <w:r w:rsidRPr="00AE1D32">
        <w:rPr>
          <w:rFonts w:ascii="Garamond" w:eastAsia="Times New Roman" w:hAnsi="Garamond" w:cs="Times New Roman"/>
          <w:sz w:val="24"/>
          <w:szCs w:val="24"/>
          <w:lang w:eastAsia="it-IT"/>
        </w:rPr>
        <w:t xml:space="preserve">14.-. Venendo alla specifica individuazione di via </w:t>
      </w:r>
      <w:proofErr w:type="spellStart"/>
      <w:r w:rsidRPr="00AE1D32">
        <w:rPr>
          <w:rFonts w:ascii="Garamond" w:eastAsia="Times New Roman" w:hAnsi="Garamond" w:cs="Times New Roman"/>
          <w:sz w:val="24"/>
          <w:szCs w:val="24"/>
          <w:lang w:eastAsia="it-IT"/>
        </w:rPr>
        <w:t>Villagrazia</w:t>
      </w:r>
      <w:proofErr w:type="spellEnd"/>
      <w:r w:rsidRPr="00AE1D32">
        <w:rPr>
          <w:rFonts w:ascii="Garamond" w:eastAsia="Times New Roman" w:hAnsi="Garamond" w:cs="Times New Roman"/>
          <w:sz w:val="24"/>
          <w:szCs w:val="24"/>
          <w:lang w:eastAsia="it-IT"/>
        </w:rPr>
        <w:t xml:space="preserve"> quale zona nella quale istituire la nuova farmacia, le critiche mosse dalla ricorrente alla scelta (discrezionale) compiuta dal Comune di Palermo, non possono essere condivise.</w:t>
      </w:r>
    </w:p>
    <w:p w:rsidR="00AE1D32" w:rsidRPr="00AE1D32" w:rsidRDefault="00AE1D32" w:rsidP="00AE1D32">
      <w:pPr>
        <w:spacing w:after="0" w:line="520" w:lineRule="atLeast"/>
        <w:jc w:val="both"/>
        <w:rPr>
          <w:rFonts w:ascii="Garamond" w:eastAsia="Times New Roman" w:hAnsi="Garamond" w:cs="Times New Roman"/>
          <w:sz w:val="24"/>
          <w:szCs w:val="24"/>
          <w:lang w:eastAsia="it-IT"/>
        </w:rPr>
      </w:pPr>
      <w:r w:rsidRPr="00AE1D32">
        <w:rPr>
          <w:rFonts w:ascii="Garamond" w:eastAsia="Times New Roman" w:hAnsi="Garamond" w:cs="Times New Roman"/>
          <w:sz w:val="24"/>
          <w:szCs w:val="24"/>
          <w:lang w:eastAsia="it-IT"/>
        </w:rPr>
        <w:t xml:space="preserve">La farmacia </w:t>
      </w:r>
      <w:proofErr w:type="spellStart"/>
      <w:r w:rsidRPr="00AE1D32">
        <w:rPr>
          <w:rFonts w:ascii="Garamond" w:eastAsia="Times New Roman" w:hAnsi="Garamond" w:cs="Times New Roman"/>
          <w:sz w:val="24"/>
          <w:szCs w:val="24"/>
          <w:lang w:eastAsia="it-IT"/>
        </w:rPr>
        <w:t>Mandalà</w:t>
      </w:r>
      <w:proofErr w:type="spellEnd"/>
      <w:r w:rsidRPr="00AE1D32">
        <w:rPr>
          <w:rFonts w:ascii="Garamond" w:eastAsia="Times New Roman" w:hAnsi="Garamond" w:cs="Times New Roman"/>
          <w:sz w:val="24"/>
          <w:szCs w:val="24"/>
          <w:lang w:eastAsia="it-IT"/>
        </w:rPr>
        <w:t xml:space="preserve"> si trova nei pressi della chiesa di </w:t>
      </w:r>
      <w:proofErr w:type="spellStart"/>
      <w:r w:rsidRPr="00AE1D32">
        <w:rPr>
          <w:rFonts w:ascii="Garamond" w:eastAsia="Times New Roman" w:hAnsi="Garamond" w:cs="Times New Roman"/>
          <w:sz w:val="24"/>
          <w:szCs w:val="24"/>
          <w:lang w:eastAsia="it-IT"/>
        </w:rPr>
        <w:t>Villagrazia</w:t>
      </w:r>
      <w:proofErr w:type="spellEnd"/>
      <w:r w:rsidRPr="00AE1D32">
        <w:rPr>
          <w:rFonts w:ascii="Garamond" w:eastAsia="Times New Roman" w:hAnsi="Garamond" w:cs="Times New Roman"/>
          <w:sz w:val="24"/>
          <w:szCs w:val="24"/>
          <w:lang w:eastAsia="it-IT"/>
        </w:rPr>
        <w:t xml:space="preserve">, sul lato destro dell’asse viario in direzione </w:t>
      </w:r>
      <w:proofErr w:type="spellStart"/>
      <w:r w:rsidRPr="00AE1D32">
        <w:rPr>
          <w:rFonts w:ascii="Garamond" w:eastAsia="Times New Roman" w:hAnsi="Garamond" w:cs="Times New Roman"/>
          <w:sz w:val="24"/>
          <w:szCs w:val="24"/>
          <w:lang w:eastAsia="it-IT"/>
        </w:rPr>
        <w:t>Altofonte</w:t>
      </w:r>
      <w:proofErr w:type="spellEnd"/>
      <w:r w:rsidRPr="00AE1D32">
        <w:rPr>
          <w:rFonts w:ascii="Garamond" w:eastAsia="Times New Roman" w:hAnsi="Garamond" w:cs="Times New Roman"/>
          <w:sz w:val="24"/>
          <w:szCs w:val="24"/>
          <w:lang w:eastAsia="it-IT"/>
        </w:rPr>
        <w:t xml:space="preserve">. </w:t>
      </w:r>
    </w:p>
    <w:p w:rsidR="00AE1D32" w:rsidRPr="00AE1D32" w:rsidRDefault="00AE1D32" w:rsidP="00AE1D32">
      <w:pPr>
        <w:spacing w:after="0" w:line="520" w:lineRule="atLeast"/>
        <w:jc w:val="both"/>
        <w:rPr>
          <w:rFonts w:ascii="Garamond" w:eastAsia="Times New Roman" w:hAnsi="Garamond" w:cs="Times New Roman"/>
          <w:sz w:val="24"/>
          <w:szCs w:val="24"/>
          <w:lang w:eastAsia="it-IT"/>
        </w:rPr>
      </w:pPr>
      <w:r w:rsidRPr="00AE1D32">
        <w:rPr>
          <w:rFonts w:ascii="Garamond" w:eastAsia="Times New Roman" w:hAnsi="Garamond" w:cs="Times New Roman"/>
          <w:sz w:val="24"/>
          <w:szCs w:val="24"/>
          <w:lang w:eastAsia="it-IT"/>
        </w:rPr>
        <w:t xml:space="preserve">Come è agevole ricavare dall’aerofotogrammetria diligentemente prodotta dalla difesa della stessa </w:t>
      </w:r>
      <w:proofErr w:type="spellStart"/>
      <w:r w:rsidRPr="00AE1D32">
        <w:rPr>
          <w:rFonts w:ascii="Garamond" w:eastAsia="Times New Roman" w:hAnsi="Garamond" w:cs="Times New Roman"/>
          <w:sz w:val="24"/>
          <w:szCs w:val="24"/>
          <w:lang w:eastAsia="it-IT"/>
        </w:rPr>
        <w:t>Mandalà</w:t>
      </w:r>
      <w:proofErr w:type="spellEnd"/>
      <w:r w:rsidRPr="00AE1D32">
        <w:rPr>
          <w:rFonts w:ascii="Garamond" w:eastAsia="Times New Roman" w:hAnsi="Garamond" w:cs="Times New Roman"/>
          <w:sz w:val="24"/>
          <w:szCs w:val="24"/>
          <w:lang w:eastAsia="it-IT"/>
        </w:rPr>
        <w:t xml:space="preserve">, la posizione della medesima farmacia è (sostanzialmente) equidistante dal confine con i Comuni di </w:t>
      </w:r>
      <w:proofErr w:type="spellStart"/>
      <w:r w:rsidRPr="00AE1D32">
        <w:rPr>
          <w:rFonts w:ascii="Garamond" w:eastAsia="Times New Roman" w:hAnsi="Garamond" w:cs="Times New Roman"/>
          <w:sz w:val="24"/>
          <w:szCs w:val="24"/>
          <w:lang w:eastAsia="it-IT"/>
        </w:rPr>
        <w:t>Altofonte</w:t>
      </w:r>
      <w:proofErr w:type="spellEnd"/>
      <w:r w:rsidRPr="00AE1D32">
        <w:rPr>
          <w:rFonts w:ascii="Garamond" w:eastAsia="Times New Roman" w:hAnsi="Garamond" w:cs="Times New Roman"/>
          <w:sz w:val="24"/>
          <w:szCs w:val="24"/>
          <w:lang w:eastAsia="it-IT"/>
        </w:rPr>
        <w:t xml:space="preserve"> e Monreale e dall’asse stradale di viale Regione Siciliana. </w:t>
      </w:r>
    </w:p>
    <w:p w:rsidR="00AE1D32" w:rsidRPr="00AE1D32" w:rsidRDefault="00AE1D32" w:rsidP="00AE1D32">
      <w:pPr>
        <w:spacing w:after="0" w:line="520" w:lineRule="atLeast"/>
        <w:jc w:val="both"/>
        <w:rPr>
          <w:rFonts w:ascii="Garamond" w:eastAsia="Times New Roman" w:hAnsi="Garamond" w:cs="Times New Roman"/>
          <w:sz w:val="24"/>
          <w:szCs w:val="24"/>
          <w:lang w:eastAsia="it-IT"/>
        </w:rPr>
      </w:pPr>
      <w:r w:rsidRPr="00AE1D32">
        <w:rPr>
          <w:rFonts w:ascii="Garamond" w:eastAsia="Times New Roman" w:hAnsi="Garamond" w:cs="Times New Roman"/>
          <w:sz w:val="24"/>
          <w:szCs w:val="24"/>
          <w:lang w:eastAsia="it-IT"/>
        </w:rPr>
        <w:t xml:space="preserve">L’intera (vasta) area che congiunge le due estremità, secondo quanto emerge dagli atti del giudizio, risulta essere sprovvista di altre farmacie. </w:t>
      </w:r>
    </w:p>
    <w:p w:rsidR="00AE1D32" w:rsidRPr="00AE1D32" w:rsidRDefault="00AE1D32" w:rsidP="00AE1D32">
      <w:pPr>
        <w:spacing w:after="0" w:line="520" w:lineRule="atLeast"/>
        <w:jc w:val="both"/>
        <w:rPr>
          <w:rFonts w:ascii="Garamond" w:eastAsia="Times New Roman" w:hAnsi="Garamond" w:cs="Times New Roman"/>
          <w:sz w:val="24"/>
          <w:szCs w:val="24"/>
          <w:lang w:eastAsia="it-IT"/>
        </w:rPr>
      </w:pPr>
      <w:r w:rsidRPr="00AE1D32">
        <w:rPr>
          <w:rFonts w:ascii="Garamond" w:eastAsia="Times New Roman" w:hAnsi="Garamond" w:cs="Times New Roman"/>
          <w:sz w:val="24"/>
          <w:szCs w:val="24"/>
          <w:lang w:eastAsia="it-IT"/>
        </w:rPr>
        <w:t xml:space="preserve">Tale deficit di servizio non può ritenersi, ad una valutazione esteriore, neppure colmato dall’istituzione delle due nuove farmacie «sul confine» da parte dei comuni viciniori, né, tampoco, dalla previsione di una nuova ulteriore nuova farmacia in via </w:t>
      </w:r>
      <w:proofErr w:type="spellStart"/>
      <w:r w:rsidRPr="00AE1D32">
        <w:rPr>
          <w:rFonts w:ascii="Garamond" w:eastAsia="Times New Roman" w:hAnsi="Garamond" w:cs="Times New Roman"/>
          <w:sz w:val="24"/>
          <w:szCs w:val="24"/>
          <w:lang w:eastAsia="it-IT"/>
        </w:rPr>
        <w:t>Aloi</w:t>
      </w:r>
      <w:proofErr w:type="spellEnd"/>
      <w:r w:rsidRPr="00AE1D32">
        <w:rPr>
          <w:rFonts w:ascii="Garamond" w:eastAsia="Times New Roman" w:hAnsi="Garamond" w:cs="Times New Roman"/>
          <w:sz w:val="24"/>
          <w:szCs w:val="24"/>
          <w:lang w:eastAsia="it-IT"/>
        </w:rPr>
        <w:t xml:space="preserve">. </w:t>
      </w:r>
    </w:p>
    <w:p w:rsidR="00AE1D32" w:rsidRPr="00AE1D32" w:rsidRDefault="00AE1D32" w:rsidP="00AE1D32">
      <w:pPr>
        <w:spacing w:after="0" w:line="520" w:lineRule="atLeast"/>
        <w:jc w:val="both"/>
        <w:rPr>
          <w:rFonts w:ascii="Garamond" w:eastAsia="Times New Roman" w:hAnsi="Garamond" w:cs="Times New Roman"/>
          <w:sz w:val="24"/>
          <w:szCs w:val="24"/>
          <w:lang w:eastAsia="it-IT"/>
        </w:rPr>
      </w:pPr>
      <w:r w:rsidRPr="00AE1D32">
        <w:rPr>
          <w:rFonts w:ascii="Garamond" w:eastAsia="Times New Roman" w:hAnsi="Garamond" w:cs="Times New Roman"/>
          <w:sz w:val="24"/>
          <w:szCs w:val="24"/>
          <w:lang w:eastAsia="it-IT"/>
        </w:rPr>
        <w:t>La determinazione del Comune deve essere guardata in controluce con la finalità della nuova disciplina, la quale guarda alla garanzia di una più capillare presenza ed equa distribuzione di farmacie sul territorio, nonché all’esigenza di garantire l'accessibilità del servizio anche a quei cittadini residenti in aree scarsamente abitate.</w:t>
      </w:r>
    </w:p>
    <w:p w:rsidR="00AE1D32" w:rsidRPr="00AE1D32" w:rsidRDefault="00AE1D32" w:rsidP="00AE1D32">
      <w:pPr>
        <w:spacing w:after="0" w:line="520" w:lineRule="atLeast"/>
        <w:jc w:val="both"/>
        <w:rPr>
          <w:rFonts w:ascii="Garamond" w:eastAsia="Times New Roman" w:hAnsi="Garamond" w:cs="Times New Roman"/>
          <w:sz w:val="24"/>
          <w:szCs w:val="24"/>
          <w:lang w:eastAsia="it-IT"/>
        </w:rPr>
      </w:pPr>
      <w:r w:rsidRPr="00AE1D32">
        <w:rPr>
          <w:rFonts w:ascii="Garamond" w:eastAsia="Times New Roman" w:hAnsi="Garamond" w:cs="Times New Roman"/>
          <w:sz w:val="24"/>
          <w:szCs w:val="24"/>
          <w:lang w:eastAsia="it-IT"/>
        </w:rPr>
        <w:t>La logica del legislatore è la medesima di quella teorizzata in sede comunitaria e che muove, in linea generale, il principio di pianificazione dei servizi sanitari (compresi quelli farmaceutici), ossia la strumentalità delle scelte ad un’assistenza adeguata alle necessità della popolazione, che copra tutto il territorio e che tenga conto delle zone svantaggiate.</w:t>
      </w:r>
    </w:p>
    <w:p w:rsidR="00AE1D32" w:rsidRPr="00AE1D32" w:rsidRDefault="00AE1D32" w:rsidP="00AE1D32">
      <w:pPr>
        <w:spacing w:after="0" w:line="520" w:lineRule="atLeast"/>
        <w:jc w:val="both"/>
        <w:rPr>
          <w:rFonts w:ascii="Garamond" w:eastAsia="Times New Roman" w:hAnsi="Garamond" w:cs="Times New Roman"/>
          <w:sz w:val="24"/>
          <w:szCs w:val="24"/>
          <w:lang w:eastAsia="it-IT"/>
        </w:rPr>
      </w:pPr>
      <w:r w:rsidRPr="00AE1D32">
        <w:rPr>
          <w:rFonts w:ascii="Garamond" w:eastAsia="Times New Roman" w:hAnsi="Garamond" w:cs="Times New Roman"/>
          <w:sz w:val="24"/>
          <w:szCs w:val="24"/>
          <w:lang w:eastAsia="it-IT"/>
        </w:rPr>
        <w:t xml:space="preserve">Al di là della questione se si renda necessario o meno istituire nuove sedi farmaceutiche sul versante a valle del viale Regione Siciliana, ciò che ad avviso della ricorrente sarebbe giustificato soprattutto dall’effettiva richiesta di medicinali in quella zona, è indubbio che il quartiere </w:t>
      </w:r>
      <w:proofErr w:type="spellStart"/>
      <w:r w:rsidRPr="00AE1D32">
        <w:rPr>
          <w:rFonts w:ascii="Garamond" w:eastAsia="Times New Roman" w:hAnsi="Garamond" w:cs="Times New Roman"/>
          <w:sz w:val="24"/>
          <w:szCs w:val="24"/>
          <w:lang w:eastAsia="it-IT"/>
        </w:rPr>
        <w:t>Villagrazia</w:t>
      </w:r>
      <w:proofErr w:type="spellEnd"/>
      <w:r w:rsidRPr="00AE1D32">
        <w:rPr>
          <w:rFonts w:ascii="Garamond" w:eastAsia="Times New Roman" w:hAnsi="Garamond" w:cs="Times New Roman"/>
          <w:sz w:val="24"/>
          <w:szCs w:val="24"/>
          <w:lang w:eastAsia="it-IT"/>
        </w:rPr>
        <w:t xml:space="preserve"> sia un quartiere di periferia con particolari sue caratteristiche e come tale deve essere considerato. </w:t>
      </w:r>
    </w:p>
    <w:p w:rsidR="00AE1D32" w:rsidRPr="00AE1D32" w:rsidRDefault="00AE1D32" w:rsidP="00AE1D32">
      <w:pPr>
        <w:spacing w:after="0" w:line="520" w:lineRule="atLeast"/>
        <w:jc w:val="both"/>
        <w:rPr>
          <w:rFonts w:ascii="Garamond" w:eastAsia="Times New Roman" w:hAnsi="Garamond" w:cs="Times New Roman"/>
          <w:sz w:val="24"/>
          <w:szCs w:val="24"/>
          <w:lang w:eastAsia="it-IT"/>
        </w:rPr>
      </w:pPr>
      <w:r w:rsidRPr="00AE1D32">
        <w:rPr>
          <w:rFonts w:ascii="Garamond" w:eastAsia="Times New Roman" w:hAnsi="Garamond" w:cs="Times New Roman"/>
          <w:sz w:val="24"/>
          <w:szCs w:val="24"/>
          <w:lang w:eastAsia="it-IT"/>
        </w:rPr>
        <w:t xml:space="preserve">In presenza di una bassa densità abitativa e di un forte deficit del servizio farmaceutico, la funzione discrezionale esercitata dal Comune non solo non appare, ad un approccio esteriore, illogica o viziata da manifesta irrazionalità, ma va anche ritenuta in linea con l’obiettivo di garantire la migliore accessibilità al servizio - quantunque trattasi, come detto, di perimetro con minore densità abitativa - in una zona, alla estrema periferia della Città di Palermo, la cui morfologia presenta una sua peculiare connotazione socio-urbanistica e nella quale la Farmacia </w:t>
      </w:r>
      <w:proofErr w:type="spellStart"/>
      <w:r w:rsidRPr="00AE1D32">
        <w:rPr>
          <w:rFonts w:ascii="Garamond" w:eastAsia="Times New Roman" w:hAnsi="Garamond" w:cs="Times New Roman"/>
          <w:sz w:val="24"/>
          <w:szCs w:val="24"/>
          <w:lang w:eastAsia="it-IT"/>
        </w:rPr>
        <w:t>Mandalà</w:t>
      </w:r>
      <w:proofErr w:type="spellEnd"/>
      <w:r w:rsidRPr="00AE1D32">
        <w:rPr>
          <w:rFonts w:ascii="Garamond" w:eastAsia="Times New Roman" w:hAnsi="Garamond" w:cs="Times New Roman"/>
          <w:sz w:val="24"/>
          <w:szCs w:val="24"/>
          <w:lang w:eastAsia="it-IT"/>
        </w:rPr>
        <w:t xml:space="preserve">, fino a questo momento, è stata, di fatto, una «monopolista» di area vasta (ciò che si deduce dalla </w:t>
      </w:r>
      <w:proofErr w:type="spellStart"/>
      <w:r w:rsidRPr="00AE1D32">
        <w:rPr>
          <w:rFonts w:ascii="Garamond" w:eastAsia="Times New Roman" w:hAnsi="Garamond" w:cs="Times New Roman"/>
          <w:sz w:val="24"/>
          <w:szCs w:val="24"/>
          <w:lang w:eastAsia="it-IT"/>
        </w:rPr>
        <w:t>surrichiamata</w:t>
      </w:r>
      <w:proofErr w:type="spellEnd"/>
      <w:r w:rsidRPr="00AE1D32">
        <w:rPr>
          <w:rFonts w:ascii="Garamond" w:eastAsia="Times New Roman" w:hAnsi="Garamond" w:cs="Times New Roman"/>
          <w:sz w:val="24"/>
          <w:szCs w:val="24"/>
          <w:lang w:eastAsia="it-IT"/>
        </w:rPr>
        <w:t xml:space="preserve"> rappresentazione cartografica delle farmacie in tutta la zona).</w:t>
      </w:r>
    </w:p>
    <w:p w:rsidR="00AE1D32" w:rsidRPr="00AE1D32" w:rsidRDefault="00AE1D32" w:rsidP="00AE1D32">
      <w:pPr>
        <w:spacing w:after="0" w:line="520" w:lineRule="atLeast"/>
        <w:jc w:val="both"/>
        <w:rPr>
          <w:rFonts w:ascii="Garamond" w:eastAsia="Times New Roman" w:hAnsi="Garamond" w:cs="Times New Roman"/>
          <w:sz w:val="24"/>
          <w:szCs w:val="24"/>
          <w:lang w:eastAsia="it-IT"/>
        </w:rPr>
      </w:pPr>
      <w:r w:rsidRPr="00AE1D32">
        <w:rPr>
          <w:rFonts w:ascii="Garamond" w:eastAsia="Times New Roman" w:hAnsi="Garamond" w:cs="Times New Roman"/>
          <w:sz w:val="24"/>
          <w:szCs w:val="24"/>
          <w:lang w:eastAsia="it-IT"/>
        </w:rPr>
        <w:t>Come evidenziato dalla difesa del Comune di Palermo, l’</w:t>
      </w:r>
      <w:proofErr w:type="spellStart"/>
      <w:r w:rsidRPr="00AE1D32">
        <w:rPr>
          <w:rFonts w:ascii="Garamond" w:eastAsia="Times New Roman" w:hAnsi="Garamond" w:cs="Times New Roman"/>
          <w:sz w:val="24"/>
          <w:szCs w:val="24"/>
          <w:lang w:eastAsia="it-IT"/>
        </w:rPr>
        <w:t>istituenda</w:t>
      </w:r>
      <w:proofErr w:type="spellEnd"/>
      <w:r w:rsidRPr="00AE1D32">
        <w:rPr>
          <w:rFonts w:ascii="Garamond" w:eastAsia="Times New Roman" w:hAnsi="Garamond" w:cs="Times New Roman"/>
          <w:sz w:val="24"/>
          <w:szCs w:val="24"/>
          <w:lang w:eastAsia="it-IT"/>
        </w:rPr>
        <w:t xml:space="preserve"> nuova farmacia di via </w:t>
      </w:r>
      <w:proofErr w:type="spellStart"/>
      <w:r w:rsidRPr="00AE1D32">
        <w:rPr>
          <w:rFonts w:ascii="Garamond" w:eastAsia="Times New Roman" w:hAnsi="Garamond" w:cs="Times New Roman"/>
          <w:sz w:val="24"/>
          <w:szCs w:val="24"/>
          <w:lang w:eastAsia="it-IT"/>
        </w:rPr>
        <w:t>Villagrazia</w:t>
      </w:r>
      <w:proofErr w:type="spellEnd"/>
      <w:r w:rsidRPr="00AE1D32">
        <w:rPr>
          <w:rFonts w:ascii="Garamond" w:eastAsia="Times New Roman" w:hAnsi="Garamond" w:cs="Times New Roman"/>
          <w:sz w:val="24"/>
          <w:szCs w:val="24"/>
          <w:lang w:eastAsia="it-IT"/>
        </w:rPr>
        <w:t xml:space="preserve"> sarà, del resto, collocata ad una distanza da quella della ricorrente compresa tra 1,5 e 2,5 Km; le nuove sedi di </w:t>
      </w:r>
      <w:proofErr w:type="spellStart"/>
      <w:r w:rsidRPr="00AE1D32">
        <w:rPr>
          <w:rFonts w:ascii="Garamond" w:eastAsia="Times New Roman" w:hAnsi="Garamond" w:cs="Times New Roman"/>
          <w:sz w:val="24"/>
          <w:szCs w:val="24"/>
          <w:lang w:eastAsia="it-IT"/>
        </w:rPr>
        <w:t>Villaciambra</w:t>
      </w:r>
      <w:proofErr w:type="spellEnd"/>
      <w:r w:rsidRPr="00AE1D32">
        <w:rPr>
          <w:rFonts w:ascii="Garamond" w:eastAsia="Times New Roman" w:hAnsi="Garamond" w:cs="Times New Roman"/>
          <w:sz w:val="24"/>
          <w:szCs w:val="24"/>
          <w:lang w:eastAsia="it-IT"/>
        </w:rPr>
        <w:t xml:space="preserve">, Piano Maglio e via </w:t>
      </w:r>
      <w:proofErr w:type="spellStart"/>
      <w:r w:rsidRPr="00AE1D32">
        <w:rPr>
          <w:rFonts w:ascii="Garamond" w:eastAsia="Times New Roman" w:hAnsi="Garamond" w:cs="Times New Roman"/>
          <w:sz w:val="24"/>
          <w:szCs w:val="24"/>
          <w:lang w:eastAsia="it-IT"/>
        </w:rPr>
        <w:t>Aloi</w:t>
      </w:r>
      <w:proofErr w:type="spellEnd"/>
      <w:r w:rsidRPr="00AE1D32">
        <w:rPr>
          <w:rFonts w:ascii="Garamond" w:eastAsia="Times New Roman" w:hAnsi="Garamond" w:cs="Times New Roman"/>
          <w:sz w:val="24"/>
          <w:szCs w:val="24"/>
          <w:lang w:eastAsia="it-IT"/>
        </w:rPr>
        <w:t xml:space="preserve">, saranno collocate, anch’esse, ad una ulteriore considerevole distanza e, certamente, quanto a queste ultime, si tratterà di farmacie non agevolmente raggiungibili dall’utenza che gravita su </w:t>
      </w:r>
      <w:proofErr w:type="spellStart"/>
      <w:r w:rsidRPr="00AE1D32">
        <w:rPr>
          <w:rFonts w:ascii="Garamond" w:eastAsia="Times New Roman" w:hAnsi="Garamond" w:cs="Times New Roman"/>
          <w:sz w:val="24"/>
          <w:szCs w:val="24"/>
          <w:lang w:eastAsia="it-IT"/>
        </w:rPr>
        <w:t>Villagrazia</w:t>
      </w:r>
      <w:proofErr w:type="spellEnd"/>
      <w:r w:rsidRPr="00AE1D32">
        <w:rPr>
          <w:rFonts w:ascii="Garamond" w:eastAsia="Times New Roman" w:hAnsi="Garamond" w:cs="Times New Roman"/>
          <w:sz w:val="24"/>
          <w:szCs w:val="24"/>
          <w:lang w:eastAsia="it-IT"/>
        </w:rPr>
        <w:t xml:space="preserve">. </w:t>
      </w:r>
    </w:p>
    <w:p w:rsidR="00AE1D32" w:rsidRPr="00AE1D32" w:rsidRDefault="00AE1D32" w:rsidP="00AE1D32">
      <w:pPr>
        <w:spacing w:after="0" w:line="520" w:lineRule="atLeast"/>
        <w:jc w:val="both"/>
        <w:rPr>
          <w:rFonts w:ascii="Garamond" w:eastAsia="Times New Roman" w:hAnsi="Garamond" w:cs="Times New Roman"/>
          <w:sz w:val="24"/>
          <w:szCs w:val="24"/>
          <w:lang w:eastAsia="it-IT"/>
        </w:rPr>
      </w:pPr>
      <w:r w:rsidRPr="00AE1D32">
        <w:rPr>
          <w:rFonts w:ascii="Garamond" w:eastAsia="Times New Roman" w:hAnsi="Garamond" w:cs="Times New Roman"/>
          <w:sz w:val="24"/>
          <w:szCs w:val="24"/>
          <w:lang w:eastAsia="it-IT"/>
        </w:rPr>
        <w:t xml:space="preserve">Ciò detto, per la parte in cui la ricorrente ricostruisce l’illogicità della localizzazione della nuova farmacia in ragione di ciò che per essa, al contrario, ‘avrebbe dovuto essere’ la scelta comunale, nel senso di una localizzazione a valle del viale Regione Siciliana, va osservato che il richiamo (finalizzato a sottolineare il fabbisogno di servizio farmaceutico) al parametro del numero di ricette spedite al </w:t>
      </w:r>
      <w:proofErr w:type="spellStart"/>
      <w:r w:rsidRPr="00AE1D32">
        <w:rPr>
          <w:rFonts w:ascii="Garamond" w:eastAsia="Times New Roman" w:hAnsi="Garamond" w:cs="Times New Roman"/>
          <w:sz w:val="24"/>
          <w:szCs w:val="24"/>
          <w:lang w:eastAsia="it-IT"/>
        </w:rPr>
        <w:t>S.S.R.</w:t>
      </w:r>
      <w:proofErr w:type="spellEnd"/>
      <w:r w:rsidRPr="00AE1D32">
        <w:rPr>
          <w:rFonts w:ascii="Garamond" w:eastAsia="Times New Roman" w:hAnsi="Garamond" w:cs="Times New Roman"/>
          <w:sz w:val="24"/>
          <w:szCs w:val="24"/>
          <w:lang w:eastAsia="it-IT"/>
        </w:rPr>
        <w:t xml:space="preserve"> dalle farmacie operanti in tale ambito nonché al dato della asserita riduzione - nella specifica zona - del rapporto residenti/farmacie al di sotto della soglia voluta dal d.l. n. 1 del 2012 (una farmacia ogni 3.300 abitanti), costituisce elemento di giudizio che non può trovare utile ingresso ai fini della valutazione della correttezza della determinazione del Comune.</w:t>
      </w:r>
    </w:p>
    <w:p w:rsidR="00AE1D32" w:rsidRPr="00AE1D32" w:rsidRDefault="00AE1D32" w:rsidP="00AE1D32">
      <w:pPr>
        <w:spacing w:after="0" w:line="520" w:lineRule="atLeast"/>
        <w:jc w:val="both"/>
        <w:rPr>
          <w:rFonts w:ascii="Garamond" w:eastAsia="Times New Roman" w:hAnsi="Garamond" w:cs="Times New Roman"/>
          <w:sz w:val="24"/>
          <w:szCs w:val="24"/>
          <w:lang w:eastAsia="it-IT"/>
        </w:rPr>
      </w:pPr>
      <w:r w:rsidRPr="00AE1D32">
        <w:rPr>
          <w:rFonts w:ascii="Garamond" w:eastAsia="Times New Roman" w:hAnsi="Garamond" w:cs="Times New Roman"/>
          <w:sz w:val="24"/>
          <w:szCs w:val="24"/>
          <w:lang w:eastAsia="it-IT"/>
        </w:rPr>
        <w:t>Con riferimento al primo aspetto, il numero delle ricette non è un parametro idoneo ad orientare, in via decisiva, il Comune nel determinare l’«equa distribuzione sul territorio» e nell’apprezzare «l'esigenza di garantire l'accessibilità del servizio farmaceutico anche a quei cittadini residenti in aree scarsamente abitate»: si tratta di un criterio che bene ha fatto il Comune a non considerare nel suo provvedimento, poiché ontologicamente distonico rispetto alle summenzionate linee guida codificate dal legislatore.</w:t>
      </w:r>
    </w:p>
    <w:p w:rsidR="00AE1D32" w:rsidRPr="00AE1D32" w:rsidRDefault="00AE1D32" w:rsidP="00AE1D32">
      <w:pPr>
        <w:spacing w:after="0" w:line="520" w:lineRule="atLeast"/>
        <w:jc w:val="both"/>
        <w:rPr>
          <w:rFonts w:ascii="Garamond" w:eastAsia="Times New Roman" w:hAnsi="Garamond" w:cs="Times New Roman"/>
          <w:sz w:val="24"/>
          <w:szCs w:val="24"/>
          <w:lang w:eastAsia="it-IT"/>
        </w:rPr>
      </w:pPr>
      <w:r w:rsidRPr="00AE1D32">
        <w:rPr>
          <w:rFonts w:ascii="Garamond" w:eastAsia="Times New Roman" w:hAnsi="Garamond" w:cs="Times New Roman"/>
          <w:sz w:val="24"/>
          <w:szCs w:val="24"/>
          <w:lang w:eastAsia="it-IT"/>
        </w:rPr>
        <w:t xml:space="preserve">Sul punto, non bisogna perdere di vista che le vere finalità volute dalla normativa, più che guardare alle esigenze di mercato degli operatori, privilegiano la reale tutela dei destinatari del servizio farmaceutico, in </w:t>
      </w:r>
      <w:proofErr w:type="spellStart"/>
      <w:r w:rsidRPr="00AE1D32">
        <w:rPr>
          <w:rFonts w:ascii="Garamond" w:eastAsia="Times New Roman" w:hAnsi="Garamond" w:cs="Times New Roman"/>
          <w:sz w:val="24"/>
          <w:szCs w:val="24"/>
          <w:lang w:eastAsia="it-IT"/>
        </w:rPr>
        <w:t>special</w:t>
      </w:r>
      <w:proofErr w:type="spellEnd"/>
      <w:r w:rsidRPr="00AE1D32">
        <w:rPr>
          <w:rFonts w:ascii="Garamond" w:eastAsia="Times New Roman" w:hAnsi="Garamond" w:cs="Times New Roman"/>
          <w:sz w:val="24"/>
          <w:szCs w:val="24"/>
          <w:lang w:eastAsia="it-IT"/>
        </w:rPr>
        <w:t xml:space="preserve"> modo delle fasce più deboli della popolazione (persone a mobilità ridotta, anziani e malati gravi): l’importanza di tale obiettivo discende anche dagli artt. 168, n. 1 TFUE e 35 della Carta dei diritti fondamentali dell’Unione europea, a termini dei quali, in particolare, nella definizione e nell’attuazione di tutte le politiche ed attività dell’Unione europea è garantito un livello elevato di protezione della salute umana (in tal senso, </w:t>
      </w:r>
      <w:proofErr w:type="spellStart"/>
      <w:r w:rsidRPr="00AE1D32">
        <w:rPr>
          <w:rFonts w:ascii="Garamond" w:eastAsia="Times New Roman" w:hAnsi="Garamond" w:cs="Times New Roman"/>
          <w:sz w:val="24"/>
          <w:szCs w:val="24"/>
          <w:lang w:eastAsia="it-IT"/>
        </w:rPr>
        <w:t>C.G.U.E.</w:t>
      </w:r>
      <w:proofErr w:type="spellEnd"/>
      <w:r w:rsidRPr="00AE1D32">
        <w:rPr>
          <w:rFonts w:ascii="Garamond" w:eastAsia="Times New Roman" w:hAnsi="Garamond" w:cs="Times New Roman"/>
          <w:sz w:val="24"/>
          <w:szCs w:val="24"/>
          <w:lang w:eastAsia="it-IT"/>
        </w:rPr>
        <w:t>, causa C- 570/07-571/07, par. 65).</w:t>
      </w:r>
    </w:p>
    <w:p w:rsidR="00AE1D32" w:rsidRPr="00AE1D32" w:rsidRDefault="00AE1D32" w:rsidP="00AE1D32">
      <w:pPr>
        <w:spacing w:after="0" w:line="520" w:lineRule="atLeast"/>
        <w:jc w:val="both"/>
        <w:rPr>
          <w:rFonts w:ascii="Garamond" w:eastAsia="Times New Roman" w:hAnsi="Garamond" w:cs="Times New Roman"/>
          <w:sz w:val="24"/>
          <w:szCs w:val="24"/>
          <w:lang w:eastAsia="it-IT"/>
        </w:rPr>
      </w:pPr>
      <w:r w:rsidRPr="00AE1D32">
        <w:rPr>
          <w:rFonts w:ascii="Garamond" w:eastAsia="Times New Roman" w:hAnsi="Garamond" w:cs="Times New Roman"/>
          <w:sz w:val="24"/>
          <w:szCs w:val="24"/>
          <w:lang w:eastAsia="it-IT"/>
        </w:rPr>
        <w:t xml:space="preserve">Sul versante del dato demografico, la riduzione del rapporto residenti teorici-farmacie è uno degli effetti voluti dal legislatore con l’aumento del numero degli esercizi. </w:t>
      </w:r>
    </w:p>
    <w:p w:rsidR="00AE1D32" w:rsidRPr="00AE1D32" w:rsidRDefault="00AE1D32" w:rsidP="00AE1D32">
      <w:pPr>
        <w:spacing w:after="0" w:line="520" w:lineRule="atLeast"/>
        <w:jc w:val="both"/>
        <w:rPr>
          <w:rFonts w:ascii="Garamond" w:eastAsia="Times New Roman" w:hAnsi="Garamond" w:cs="Times New Roman"/>
          <w:sz w:val="24"/>
          <w:szCs w:val="24"/>
          <w:lang w:eastAsia="it-IT"/>
        </w:rPr>
      </w:pPr>
      <w:r w:rsidRPr="00AE1D32">
        <w:rPr>
          <w:rFonts w:ascii="Garamond" w:eastAsia="Times New Roman" w:hAnsi="Garamond" w:cs="Times New Roman"/>
          <w:sz w:val="24"/>
          <w:szCs w:val="24"/>
          <w:lang w:eastAsia="it-IT"/>
        </w:rPr>
        <w:t>Tale rapporto deve essere verificato con riferimento al complessivo ambito territoriale - e nel caso di specie il parametro dei 3.300 abitanti sull’intero territorio comunale non è contestato - e non limitatamente alle cd. microaree (in tal senso, Cons. Stato, sez. III, 3 aprile 2013, n. 1858): diversamente opinando si metterebbe in pericolo l’ulteriore obiettivo, che costituisce asse portante della disciplina in argomento, di garantire sufficientemente il servizio anche nelle aree scarsamente abitate nelle quali, seguendo il ragionamento della parte ricorrente, il rapporto popolazione-farmacie risulterebbe altissimo. Così non è nelle corde della riforma operata con il d.l. n. 1 del 2012.</w:t>
      </w:r>
    </w:p>
    <w:p w:rsidR="00AE1D32" w:rsidRPr="00AE1D32" w:rsidRDefault="00AE1D32" w:rsidP="00AE1D32">
      <w:pPr>
        <w:spacing w:after="0" w:line="520" w:lineRule="atLeast"/>
        <w:jc w:val="both"/>
        <w:rPr>
          <w:rFonts w:ascii="Garamond" w:eastAsia="Times New Roman" w:hAnsi="Garamond" w:cs="Times New Roman"/>
          <w:sz w:val="24"/>
          <w:szCs w:val="24"/>
          <w:lang w:eastAsia="it-IT"/>
        </w:rPr>
      </w:pPr>
      <w:r w:rsidRPr="00AE1D32">
        <w:rPr>
          <w:rFonts w:ascii="Garamond" w:eastAsia="Times New Roman" w:hAnsi="Garamond" w:cs="Times New Roman"/>
          <w:sz w:val="24"/>
          <w:szCs w:val="24"/>
          <w:lang w:eastAsia="it-IT"/>
        </w:rPr>
        <w:t xml:space="preserve">In tal senso si manifesta l’infondatezza anche dei primi due motivi del ricorso per motivi aggiunti con cui la Farmacia </w:t>
      </w:r>
      <w:proofErr w:type="spellStart"/>
      <w:r w:rsidRPr="00AE1D32">
        <w:rPr>
          <w:rFonts w:ascii="Garamond" w:eastAsia="Times New Roman" w:hAnsi="Garamond" w:cs="Times New Roman"/>
          <w:sz w:val="24"/>
          <w:szCs w:val="24"/>
          <w:lang w:eastAsia="it-IT"/>
        </w:rPr>
        <w:t>Mandalà</w:t>
      </w:r>
      <w:proofErr w:type="spellEnd"/>
      <w:r w:rsidRPr="00AE1D32">
        <w:rPr>
          <w:rFonts w:ascii="Garamond" w:eastAsia="Times New Roman" w:hAnsi="Garamond" w:cs="Times New Roman"/>
          <w:sz w:val="24"/>
          <w:szCs w:val="24"/>
          <w:lang w:eastAsia="it-IT"/>
        </w:rPr>
        <w:t xml:space="preserve"> ha impugnato il bando di concorso emanato dall’Assessorato regionale alla salute per la copertura delle nuove sedi farmaceutiche. </w:t>
      </w:r>
    </w:p>
    <w:p w:rsidR="00AE1D32" w:rsidRPr="00AE1D32" w:rsidRDefault="00AE1D32" w:rsidP="00AE1D32">
      <w:pPr>
        <w:spacing w:after="0" w:line="520" w:lineRule="atLeast"/>
        <w:jc w:val="both"/>
        <w:rPr>
          <w:rFonts w:ascii="Garamond" w:eastAsia="Times New Roman" w:hAnsi="Garamond" w:cs="Times New Roman"/>
          <w:sz w:val="24"/>
          <w:szCs w:val="24"/>
          <w:lang w:eastAsia="it-IT"/>
        </w:rPr>
      </w:pPr>
      <w:r w:rsidRPr="00AE1D32">
        <w:rPr>
          <w:rFonts w:ascii="Garamond" w:eastAsia="Times New Roman" w:hAnsi="Garamond" w:cs="Times New Roman"/>
          <w:sz w:val="24"/>
          <w:szCs w:val="24"/>
          <w:lang w:eastAsia="it-IT"/>
        </w:rPr>
        <w:t xml:space="preserve">E’ irrilevante che, secondo quanto prospettato, sia la nuova farmacia di via </w:t>
      </w:r>
      <w:proofErr w:type="spellStart"/>
      <w:r w:rsidRPr="00AE1D32">
        <w:rPr>
          <w:rFonts w:ascii="Garamond" w:eastAsia="Times New Roman" w:hAnsi="Garamond" w:cs="Times New Roman"/>
          <w:sz w:val="24"/>
          <w:szCs w:val="24"/>
          <w:lang w:eastAsia="it-IT"/>
        </w:rPr>
        <w:t>Aloi</w:t>
      </w:r>
      <w:proofErr w:type="spellEnd"/>
      <w:r w:rsidRPr="00AE1D32">
        <w:rPr>
          <w:rFonts w:ascii="Garamond" w:eastAsia="Times New Roman" w:hAnsi="Garamond" w:cs="Times New Roman"/>
          <w:sz w:val="24"/>
          <w:szCs w:val="24"/>
          <w:lang w:eastAsia="it-IT"/>
        </w:rPr>
        <w:t xml:space="preserve">, sia quella di via </w:t>
      </w:r>
      <w:proofErr w:type="spellStart"/>
      <w:r w:rsidRPr="00AE1D32">
        <w:rPr>
          <w:rFonts w:ascii="Garamond" w:eastAsia="Times New Roman" w:hAnsi="Garamond" w:cs="Times New Roman"/>
          <w:sz w:val="24"/>
          <w:szCs w:val="24"/>
          <w:lang w:eastAsia="it-IT"/>
        </w:rPr>
        <w:t>Villagrazia</w:t>
      </w:r>
      <w:proofErr w:type="spellEnd"/>
      <w:r w:rsidRPr="00AE1D32">
        <w:rPr>
          <w:rFonts w:ascii="Garamond" w:eastAsia="Times New Roman" w:hAnsi="Garamond" w:cs="Times New Roman"/>
          <w:sz w:val="24"/>
          <w:szCs w:val="24"/>
          <w:lang w:eastAsia="it-IT"/>
        </w:rPr>
        <w:t xml:space="preserve"> in contestazione, eroderebbero i confini della «circoscrizione» della Farmacia </w:t>
      </w:r>
      <w:proofErr w:type="spellStart"/>
      <w:r w:rsidRPr="00AE1D32">
        <w:rPr>
          <w:rFonts w:ascii="Garamond" w:eastAsia="Times New Roman" w:hAnsi="Garamond" w:cs="Times New Roman"/>
          <w:sz w:val="24"/>
          <w:szCs w:val="24"/>
          <w:lang w:eastAsia="it-IT"/>
        </w:rPr>
        <w:t>Mandalà</w:t>
      </w:r>
      <w:proofErr w:type="spellEnd"/>
      <w:r w:rsidRPr="00AE1D32">
        <w:rPr>
          <w:rFonts w:ascii="Garamond" w:eastAsia="Times New Roman" w:hAnsi="Garamond" w:cs="Times New Roman"/>
          <w:sz w:val="24"/>
          <w:szCs w:val="24"/>
          <w:lang w:eastAsia="it-IT"/>
        </w:rPr>
        <w:t>, con conseguente (asserita) illegittima modificazione, per incompetenza, della pianta organica approvata dalla Regione Siciliana.</w:t>
      </w:r>
    </w:p>
    <w:p w:rsidR="00AE1D32" w:rsidRPr="00AE1D32" w:rsidRDefault="00AE1D32" w:rsidP="00AE1D32">
      <w:pPr>
        <w:spacing w:after="0" w:line="520" w:lineRule="atLeast"/>
        <w:jc w:val="both"/>
        <w:rPr>
          <w:rFonts w:ascii="Garamond" w:eastAsia="Times New Roman" w:hAnsi="Garamond" w:cs="Times New Roman"/>
          <w:sz w:val="24"/>
          <w:szCs w:val="24"/>
          <w:lang w:eastAsia="it-IT"/>
        </w:rPr>
      </w:pPr>
      <w:r w:rsidRPr="00AE1D32">
        <w:rPr>
          <w:rFonts w:ascii="Garamond" w:eastAsia="Times New Roman" w:hAnsi="Garamond" w:cs="Times New Roman"/>
          <w:sz w:val="24"/>
          <w:szCs w:val="24"/>
          <w:lang w:eastAsia="it-IT"/>
        </w:rPr>
        <w:t xml:space="preserve">Va, infatti, osservato che, legittimamente, il Comune ha individuato le nuove sedi farmaceutiche - ed altrettanto legittimamente la Regione le ha messe a concorso - mediante sostanziale modifica del perimetro delle sedi farmaceutiche preesistenti, considerato che il d.l. n. 1 del 2012 ha attribuito una nuova ed inedita funzione di programmazione del servizio farmaceutico alle amministrazioni comunali, fino ad ora limitata all’espressione del parere previsto dall’art. 2 della l. n. 475 del 1968. Benché la legge non preveda più, espressamente, un atto tipico denominato «pianta organica», secondo la giurisprudenza resta affidata alla competenza del Comune la formazione di uno strumento </w:t>
      </w:r>
      <w:proofErr w:type="spellStart"/>
      <w:r w:rsidRPr="00AE1D32">
        <w:rPr>
          <w:rFonts w:ascii="Garamond" w:eastAsia="Times New Roman" w:hAnsi="Garamond" w:cs="Times New Roman"/>
          <w:sz w:val="24"/>
          <w:szCs w:val="24"/>
          <w:lang w:eastAsia="it-IT"/>
        </w:rPr>
        <w:t>pianificatorio</w:t>
      </w:r>
      <w:proofErr w:type="spellEnd"/>
      <w:r w:rsidRPr="00AE1D32">
        <w:rPr>
          <w:rFonts w:ascii="Garamond" w:eastAsia="Times New Roman" w:hAnsi="Garamond" w:cs="Times New Roman"/>
          <w:sz w:val="24"/>
          <w:szCs w:val="24"/>
          <w:lang w:eastAsia="it-IT"/>
        </w:rPr>
        <w:t xml:space="preserve"> che sostanzialmente, per finalità, contenuti, criteri ispiratori, ed effetti corrisponde alla vecchia pianta organica e che niente vieta di chiamare con lo stesso nome.</w:t>
      </w:r>
    </w:p>
    <w:p w:rsidR="00AE1D32" w:rsidRPr="00AE1D32" w:rsidRDefault="00AE1D32" w:rsidP="00AE1D32">
      <w:pPr>
        <w:spacing w:after="0" w:line="520" w:lineRule="atLeast"/>
        <w:jc w:val="both"/>
        <w:rPr>
          <w:rFonts w:ascii="Garamond" w:eastAsia="Times New Roman" w:hAnsi="Garamond" w:cs="Times New Roman"/>
          <w:sz w:val="24"/>
          <w:szCs w:val="24"/>
          <w:lang w:eastAsia="it-IT"/>
        </w:rPr>
      </w:pPr>
      <w:r w:rsidRPr="00AE1D32">
        <w:rPr>
          <w:rFonts w:ascii="Garamond" w:eastAsia="Times New Roman" w:hAnsi="Garamond" w:cs="Times New Roman"/>
          <w:sz w:val="24"/>
          <w:szCs w:val="24"/>
          <w:lang w:eastAsia="it-IT"/>
        </w:rPr>
        <w:t>15.- Per la parte in cui il ricorso per motivi aggiunti ripropone, in via derivata, la censura dei vizi del provvedimento originario, esso va parimenti rigettato stante l’infondatezza del ricorso introduttivo.</w:t>
      </w:r>
    </w:p>
    <w:p w:rsidR="00AE1D32" w:rsidRPr="00AE1D32" w:rsidRDefault="00AE1D32" w:rsidP="00AE1D32">
      <w:pPr>
        <w:spacing w:after="0" w:line="520" w:lineRule="atLeast"/>
        <w:jc w:val="both"/>
        <w:rPr>
          <w:rFonts w:ascii="Garamond" w:eastAsia="Times New Roman" w:hAnsi="Garamond" w:cs="Times New Roman"/>
          <w:sz w:val="24"/>
          <w:szCs w:val="24"/>
          <w:lang w:eastAsia="it-IT"/>
        </w:rPr>
      </w:pPr>
      <w:r w:rsidRPr="00AE1D32">
        <w:rPr>
          <w:rFonts w:ascii="Garamond" w:eastAsia="Times New Roman" w:hAnsi="Garamond" w:cs="Times New Roman"/>
          <w:sz w:val="24"/>
          <w:szCs w:val="24"/>
          <w:lang w:eastAsia="it-IT"/>
        </w:rPr>
        <w:t>16.- Al lume delle suesposte considerazioni il ricorso introduttivo ed i motivi aggiunti, poiché complessivamente infondati, vanno rigettati.</w:t>
      </w:r>
    </w:p>
    <w:p w:rsidR="00AE1D32" w:rsidRPr="00AE1D32" w:rsidRDefault="00AE1D32" w:rsidP="00AE1D32">
      <w:pPr>
        <w:spacing w:after="0" w:line="520" w:lineRule="atLeast"/>
        <w:jc w:val="both"/>
        <w:rPr>
          <w:rFonts w:ascii="Garamond" w:eastAsia="Times New Roman" w:hAnsi="Garamond" w:cs="Times New Roman"/>
          <w:sz w:val="24"/>
          <w:szCs w:val="24"/>
          <w:lang w:eastAsia="it-IT"/>
        </w:rPr>
      </w:pPr>
      <w:r w:rsidRPr="00AE1D32">
        <w:rPr>
          <w:rFonts w:ascii="Garamond" w:eastAsia="Times New Roman" w:hAnsi="Garamond" w:cs="Times New Roman"/>
          <w:sz w:val="24"/>
          <w:szCs w:val="24"/>
          <w:lang w:eastAsia="it-IT"/>
        </w:rPr>
        <w:t>17.- Le spese possono essere compensate tra tutte le parti, avuto riguardo alla novità e complessità delle questioni prospettate.</w:t>
      </w:r>
    </w:p>
    <w:p w:rsidR="00AE1D32" w:rsidRPr="00AE1D32" w:rsidRDefault="00AE1D32" w:rsidP="00AE1D32">
      <w:pPr>
        <w:spacing w:after="0" w:line="540" w:lineRule="atLeast"/>
        <w:jc w:val="center"/>
        <w:rPr>
          <w:rFonts w:ascii="Garamond" w:eastAsia="Times New Roman" w:hAnsi="Garamond" w:cs="Times New Roman"/>
          <w:sz w:val="24"/>
          <w:szCs w:val="24"/>
          <w:lang w:eastAsia="it-IT"/>
        </w:rPr>
      </w:pPr>
      <w:r w:rsidRPr="00AE1D32">
        <w:rPr>
          <w:rFonts w:ascii="Garamond" w:eastAsia="Times New Roman" w:hAnsi="Garamond" w:cs="Times New Roman"/>
          <w:sz w:val="24"/>
          <w:szCs w:val="24"/>
          <w:lang w:eastAsia="it-IT"/>
        </w:rPr>
        <w:t>P.Q.M.</w:t>
      </w:r>
    </w:p>
    <w:p w:rsidR="00AE1D32" w:rsidRPr="00AE1D32" w:rsidRDefault="00AE1D32" w:rsidP="00AE1D32">
      <w:pPr>
        <w:spacing w:after="0" w:line="520" w:lineRule="atLeast"/>
        <w:jc w:val="both"/>
        <w:rPr>
          <w:rFonts w:ascii="Garamond" w:eastAsia="Times New Roman" w:hAnsi="Garamond" w:cs="Times New Roman"/>
          <w:sz w:val="24"/>
          <w:szCs w:val="24"/>
          <w:lang w:eastAsia="it-IT"/>
        </w:rPr>
      </w:pPr>
      <w:r w:rsidRPr="00AE1D32">
        <w:rPr>
          <w:rFonts w:ascii="Garamond" w:eastAsia="Times New Roman" w:hAnsi="Garamond" w:cs="Times New Roman"/>
          <w:sz w:val="24"/>
          <w:szCs w:val="24"/>
          <w:lang w:eastAsia="it-IT"/>
        </w:rPr>
        <w:t>Il Tribunale Amministrativo Regionale per la Sicilia (Sezione Terza), pronunciando sul ricorso introduttivo e sui motivi aggiunti in epigrafe indicati, li rigetta.</w:t>
      </w:r>
    </w:p>
    <w:p w:rsidR="00AE1D32" w:rsidRPr="00AE1D32" w:rsidRDefault="00AE1D32" w:rsidP="00AE1D32">
      <w:pPr>
        <w:spacing w:after="0" w:line="520" w:lineRule="atLeast"/>
        <w:jc w:val="both"/>
        <w:rPr>
          <w:rFonts w:ascii="Garamond" w:eastAsia="Times New Roman" w:hAnsi="Garamond" w:cs="Times New Roman"/>
          <w:sz w:val="24"/>
          <w:szCs w:val="24"/>
          <w:lang w:eastAsia="it-IT"/>
        </w:rPr>
      </w:pPr>
      <w:r w:rsidRPr="00AE1D32">
        <w:rPr>
          <w:rFonts w:ascii="Garamond" w:eastAsia="Times New Roman" w:hAnsi="Garamond" w:cs="Times New Roman"/>
          <w:sz w:val="24"/>
          <w:szCs w:val="24"/>
          <w:lang w:eastAsia="it-IT"/>
        </w:rPr>
        <w:t>Spese integralmente compensate</w:t>
      </w:r>
    </w:p>
    <w:p w:rsidR="00AE1D32" w:rsidRPr="00AE1D32" w:rsidRDefault="00AE1D32" w:rsidP="00AE1D32">
      <w:pPr>
        <w:spacing w:after="0" w:line="520" w:lineRule="atLeast"/>
        <w:jc w:val="both"/>
        <w:rPr>
          <w:rFonts w:ascii="Garamond" w:eastAsia="Times New Roman" w:hAnsi="Garamond" w:cs="Times New Roman"/>
          <w:sz w:val="24"/>
          <w:szCs w:val="24"/>
          <w:lang w:eastAsia="it-IT"/>
        </w:rPr>
      </w:pPr>
      <w:r w:rsidRPr="00AE1D32">
        <w:rPr>
          <w:rFonts w:ascii="Garamond" w:eastAsia="Times New Roman" w:hAnsi="Garamond" w:cs="Times New Roman"/>
          <w:sz w:val="24"/>
          <w:szCs w:val="24"/>
          <w:lang w:eastAsia="it-IT"/>
        </w:rPr>
        <w:t>Ordina che la presente sentenza sia eseguita dall'Autorità amministrativa.</w:t>
      </w:r>
    </w:p>
    <w:p w:rsidR="00AE1D32" w:rsidRPr="00AE1D32" w:rsidRDefault="00AE1D32" w:rsidP="00AE1D32">
      <w:pPr>
        <w:spacing w:after="0" w:line="520" w:lineRule="atLeast"/>
        <w:jc w:val="both"/>
        <w:rPr>
          <w:rFonts w:ascii="Garamond" w:eastAsia="Times New Roman" w:hAnsi="Garamond" w:cs="Times New Roman"/>
          <w:sz w:val="24"/>
          <w:szCs w:val="24"/>
          <w:lang w:eastAsia="it-IT"/>
        </w:rPr>
      </w:pPr>
      <w:r w:rsidRPr="00AE1D32">
        <w:rPr>
          <w:rFonts w:ascii="Garamond" w:eastAsia="Times New Roman" w:hAnsi="Garamond" w:cs="Times New Roman"/>
          <w:sz w:val="24"/>
          <w:szCs w:val="24"/>
          <w:lang w:eastAsia="it-IT"/>
        </w:rPr>
        <w:t>Così deciso in Palermo nella camera di consiglio del giorno 14 maggio 2013 con l'intervento dei magistrati:</w:t>
      </w:r>
    </w:p>
    <w:p w:rsidR="00AE1D32" w:rsidRPr="00AE1D32" w:rsidRDefault="00AE1D32" w:rsidP="00AE1D32">
      <w:pPr>
        <w:spacing w:after="0" w:line="520" w:lineRule="atLeast"/>
        <w:ind w:firstLine="567"/>
        <w:rPr>
          <w:rFonts w:ascii="Garamond" w:eastAsia="Times New Roman" w:hAnsi="Garamond" w:cs="Times New Roman"/>
          <w:sz w:val="24"/>
          <w:szCs w:val="24"/>
          <w:lang w:eastAsia="it-IT"/>
        </w:rPr>
      </w:pPr>
      <w:proofErr w:type="spellStart"/>
      <w:r w:rsidRPr="00AE1D32">
        <w:rPr>
          <w:rFonts w:ascii="Garamond" w:eastAsia="Times New Roman" w:hAnsi="Garamond" w:cs="Times New Roman"/>
          <w:sz w:val="24"/>
          <w:szCs w:val="24"/>
          <w:lang w:eastAsia="it-IT"/>
        </w:rPr>
        <w:t>Nicolo</w:t>
      </w:r>
      <w:proofErr w:type="spellEnd"/>
      <w:r w:rsidRPr="00AE1D32">
        <w:rPr>
          <w:rFonts w:ascii="Garamond" w:eastAsia="Times New Roman" w:hAnsi="Garamond" w:cs="Times New Roman"/>
          <w:sz w:val="24"/>
          <w:szCs w:val="24"/>
          <w:lang w:eastAsia="it-IT"/>
        </w:rPr>
        <w:t xml:space="preserve">' </w:t>
      </w:r>
      <w:proofErr w:type="spellStart"/>
      <w:r w:rsidRPr="00AE1D32">
        <w:rPr>
          <w:rFonts w:ascii="Garamond" w:eastAsia="Times New Roman" w:hAnsi="Garamond" w:cs="Times New Roman"/>
          <w:sz w:val="24"/>
          <w:szCs w:val="24"/>
          <w:lang w:eastAsia="it-IT"/>
        </w:rPr>
        <w:t>Monteleone</w:t>
      </w:r>
      <w:proofErr w:type="spellEnd"/>
      <w:r w:rsidRPr="00AE1D32">
        <w:rPr>
          <w:rFonts w:ascii="Garamond" w:eastAsia="Times New Roman" w:hAnsi="Garamond" w:cs="Times New Roman"/>
          <w:sz w:val="24"/>
          <w:szCs w:val="24"/>
          <w:lang w:eastAsia="it-IT"/>
        </w:rPr>
        <w:t>, Presidente</w:t>
      </w:r>
    </w:p>
    <w:p w:rsidR="00AE1D32" w:rsidRPr="00AE1D32" w:rsidRDefault="00AE1D32" w:rsidP="00AE1D32">
      <w:pPr>
        <w:spacing w:after="0" w:line="520" w:lineRule="atLeast"/>
        <w:ind w:firstLine="567"/>
        <w:rPr>
          <w:rFonts w:ascii="Garamond" w:eastAsia="Times New Roman" w:hAnsi="Garamond" w:cs="Times New Roman"/>
          <w:sz w:val="24"/>
          <w:szCs w:val="24"/>
          <w:lang w:eastAsia="it-IT"/>
        </w:rPr>
      </w:pPr>
      <w:r w:rsidRPr="00AE1D32">
        <w:rPr>
          <w:rFonts w:ascii="Garamond" w:eastAsia="Times New Roman" w:hAnsi="Garamond" w:cs="Times New Roman"/>
          <w:sz w:val="24"/>
          <w:szCs w:val="24"/>
          <w:lang w:eastAsia="it-IT"/>
        </w:rPr>
        <w:t>Federica Cabrini, Consigliere</w:t>
      </w:r>
    </w:p>
    <w:p w:rsidR="00AE1D32" w:rsidRPr="00AE1D32" w:rsidRDefault="00AE1D32" w:rsidP="00AE1D32">
      <w:pPr>
        <w:spacing w:line="520" w:lineRule="atLeast"/>
        <w:ind w:firstLine="567"/>
        <w:rPr>
          <w:rFonts w:ascii="Garamond" w:eastAsia="Times New Roman" w:hAnsi="Garamond" w:cs="Times New Roman"/>
          <w:sz w:val="24"/>
          <w:szCs w:val="24"/>
          <w:lang w:eastAsia="it-IT"/>
        </w:rPr>
      </w:pPr>
      <w:r w:rsidRPr="00AE1D32">
        <w:rPr>
          <w:rFonts w:ascii="Garamond" w:eastAsia="Times New Roman" w:hAnsi="Garamond" w:cs="Times New Roman"/>
          <w:sz w:val="24"/>
          <w:szCs w:val="24"/>
          <w:lang w:eastAsia="it-IT"/>
        </w:rPr>
        <w:t>Giuseppe La Greca, Primo Referendario, Estensore</w:t>
      </w:r>
    </w:p>
    <w:tbl>
      <w:tblPr>
        <w:tblW w:w="5000" w:type="pct"/>
        <w:tblCellMar>
          <w:top w:w="15" w:type="dxa"/>
          <w:left w:w="15" w:type="dxa"/>
          <w:bottom w:w="15" w:type="dxa"/>
          <w:right w:w="15" w:type="dxa"/>
        </w:tblCellMar>
        <w:tblLook w:val="04A0"/>
      </w:tblPr>
      <w:tblGrid>
        <w:gridCol w:w="4545"/>
        <w:gridCol w:w="96"/>
        <w:gridCol w:w="5027"/>
      </w:tblGrid>
      <w:tr w:rsidR="00AE1D32" w:rsidRPr="00AE1D32" w:rsidTr="00AE1D32">
        <w:tc>
          <w:tcPr>
            <w:tcW w:w="0" w:type="auto"/>
            <w:vAlign w:val="center"/>
            <w:hideMark/>
          </w:tcPr>
          <w:p w:rsidR="00AE1D32" w:rsidRPr="00AE1D32" w:rsidRDefault="00AE1D32" w:rsidP="00AE1D32">
            <w:pPr>
              <w:spacing w:after="0" w:line="240" w:lineRule="auto"/>
              <w:jc w:val="center"/>
              <w:rPr>
                <w:rFonts w:ascii="Times New Roman" w:eastAsia="Times New Roman" w:hAnsi="Times New Roman" w:cs="Times New Roman"/>
                <w:b/>
                <w:bCs/>
                <w:sz w:val="24"/>
                <w:szCs w:val="24"/>
                <w:lang w:eastAsia="it-IT"/>
              </w:rPr>
            </w:pPr>
            <w:r w:rsidRPr="00AE1D32">
              <w:rPr>
                <w:rFonts w:ascii="Times New Roman" w:eastAsia="Times New Roman" w:hAnsi="Times New Roman" w:cs="Times New Roman"/>
                <w:b/>
                <w:bCs/>
                <w:sz w:val="24"/>
                <w:szCs w:val="24"/>
                <w:lang w:eastAsia="it-IT"/>
              </w:rPr>
              <w:t> </w:t>
            </w:r>
          </w:p>
        </w:tc>
        <w:tc>
          <w:tcPr>
            <w:tcW w:w="0" w:type="auto"/>
            <w:vAlign w:val="center"/>
            <w:hideMark/>
          </w:tcPr>
          <w:p w:rsidR="00AE1D32" w:rsidRPr="00AE1D32" w:rsidRDefault="00AE1D32" w:rsidP="00AE1D32">
            <w:pPr>
              <w:spacing w:after="0" w:line="240" w:lineRule="auto"/>
              <w:jc w:val="center"/>
              <w:rPr>
                <w:rFonts w:ascii="Times New Roman" w:eastAsia="Times New Roman" w:hAnsi="Times New Roman" w:cs="Times New Roman"/>
                <w:b/>
                <w:bCs/>
                <w:sz w:val="24"/>
                <w:szCs w:val="24"/>
                <w:lang w:eastAsia="it-IT"/>
              </w:rPr>
            </w:pPr>
          </w:p>
        </w:tc>
        <w:tc>
          <w:tcPr>
            <w:tcW w:w="0" w:type="auto"/>
            <w:vAlign w:val="center"/>
            <w:hideMark/>
          </w:tcPr>
          <w:p w:rsidR="00AE1D32" w:rsidRPr="00AE1D32" w:rsidRDefault="00AE1D32" w:rsidP="00AE1D32">
            <w:pPr>
              <w:spacing w:after="0" w:line="240" w:lineRule="auto"/>
              <w:jc w:val="center"/>
              <w:rPr>
                <w:rFonts w:ascii="Times New Roman" w:eastAsia="Times New Roman" w:hAnsi="Times New Roman" w:cs="Times New Roman"/>
                <w:b/>
                <w:bCs/>
                <w:sz w:val="24"/>
                <w:szCs w:val="24"/>
                <w:lang w:eastAsia="it-IT"/>
              </w:rPr>
            </w:pPr>
          </w:p>
        </w:tc>
      </w:tr>
      <w:tr w:rsidR="00AE1D32" w:rsidRPr="00AE1D32" w:rsidTr="00AE1D32">
        <w:tc>
          <w:tcPr>
            <w:tcW w:w="0" w:type="auto"/>
            <w:vAlign w:val="center"/>
            <w:hideMark/>
          </w:tcPr>
          <w:p w:rsidR="00AE1D32" w:rsidRPr="00AE1D32" w:rsidRDefault="00AE1D32" w:rsidP="00AE1D32">
            <w:pPr>
              <w:spacing w:after="0" w:line="240" w:lineRule="auto"/>
              <w:jc w:val="center"/>
              <w:rPr>
                <w:rFonts w:ascii="Times New Roman" w:eastAsia="Times New Roman" w:hAnsi="Times New Roman" w:cs="Times New Roman"/>
                <w:b/>
                <w:bCs/>
                <w:sz w:val="24"/>
                <w:szCs w:val="24"/>
                <w:lang w:eastAsia="it-IT"/>
              </w:rPr>
            </w:pPr>
            <w:r w:rsidRPr="00AE1D32">
              <w:rPr>
                <w:rFonts w:ascii="Times New Roman" w:eastAsia="Times New Roman" w:hAnsi="Times New Roman" w:cs="Times New Roman"/>
                <w:b/>
                <w:bCs/>
                <w:sz w:val="24"/>
                <w:szCs w:val="24"/>
                <w:lang w:eastAsia="it-IT"/>
              </w:rPr>
              <w:t> </w:t>
            </w:r>
          </w:p>
        </w:tc>
        <w:tc>
          <w:tcPr>
            <w:tcW w:w="0" w:type="auto"/>
            <w:vAlign w:val="center"/>
            <w:hideMark/>
          </w:tcPr>
          <w:p w:rsidR="00AE1D32" w:rsidRPr="00AE1D32" w:rsidRDefault="00AE1D32" w:rsidP="00AE1D32">
            <w:pPr>
              <w:spacing w:after="0" w:line="240" w:lineRule="auto"/>
              <w:jc w:val="center"/>
              <w:rPr>
                <w:rFonts w:ascii="Times New Roman" w:eastAsia="Times New Roman" w:hAnsi="Times New Roman" w:cs="Times New Roman"/>
                <w:b/>
                <w:bCs/>
                <w:sz w:val="24"/>
                <w:szCs w:val="24"/>
                <w:lang w:eastAsia="it-IT"/>
              </w:rPr>
            </w:pPr>
          </w:p>
        </w:tc>
        <w:tc>
          <w:tcPr>
            <w:tcW w:w="0" w:type="auto"/>
            <w:vAlign w:val="center"/>
            <w:hideMark/>
          </w:tcPr>
          <w:p w:rsidR="00AE1D32" w:rsidRPr="00AE1D32" w:rsidRDefault="00AE1D32" w:rsidP="00AE1D32">
            <w:pPr>
              <w:spacing w:after="0" w:line="240" w:lineRule="auto"/>
              <w:jc w:val="center"/>
              <w:rPr>
                <w:rFonts w:ascii="Times New Roman" w:eastAsia="Times New Roman" w:hAnsi="Times New Roman" w:cs="Times New Roman"/>
                <w:b/>
                <w:bCs/>
                <w:sz w:val="24"/>
                <w:szCs w:val="24"/>
                <w:lang w:eastAsia="it-IT"/>
              </w:rPr>
            </w:pPr>
          </w:p>
        </w:tc>
      </w:tr>
      <w:tr w:rsidR="00AE1D32" w:rsidRPr="00AE1D32" w:rsidTr="00AE1D32">
        <w:tc>
          <w:tcPr>
            <w:tcW w:w="0" w:type="auto"/>
            <w:vAlign w:val="center"/>
            <w:hideMark/>
          </w:tcPr>
          <w:p w:rsidR="00AE1D32" w:rsidRPr="00AE1D32" w:rsidRDefault="00AE1D32" w:rsidP="00AE1D32">
            <w:pPr>
              <w:spacing w:after="0" w:line="240" w:lineRule="auto"/>
              <w:jc w:val="center"/>
              <w:rPr>
                <w:rFonts w:ascii="Times New Roman" w:eastAsia="Times New Roman" w:hAnsi="Times New Roman" w:cs="Times New Roman"/>
                <w:b/>
                <w:bCs/>
                <w:sz w:val="24"/>
                <w:szCs w:val="24"/>
                <w:lang w:eastAsia="it-IT"/>
              </w:rPr>
            </w:pPr>
            <w:r w:rsidRPr="00AE1D32">
              <w:rPr>
                <w:rFonts w:ascii="Times New Roman" w:eastAsia="Times New Roman" w:hAnsi="Times New Roman" w:cs="Times New Roman"/>
                <w:b/>
                <w:bCs/>
                <w:sz w:val="24"/>
                <w:szCs w:val="24"/>
                <w:lang w:eastAsia="it-IT"/>
              </w:rPr>
              <w:t>L'ESTENSORE</w:t>
            </w:r>
          </w:p>
        </w:tc>
        <w:tc>
          <w:tcPr>
            <w:tcW w:w="0" w:type="auto"/>
            <w:vAlign w:val="center"/>
            <w:hideMark/>
          </w:tcPr>
          <w:p w:rsidR="00AE1D32" w:rsidRPr="00AE1D32" w:rsidRDefault="00AE1D32" w:rsidP="00AE1D32">
            <w:pPr>
              <w:spacing w:after="0" w:line="240" w:lineRule="auto"/>
              <w:jc w:val="center"/>
              <w:rPr>
                <w:rFonts w:ascii="Times New Roman" w:eastAsia="Times New Roman" w:hAnsi="Times New Roman" w:cs="Times New Roman"/>
                <w:b/>
                <w:bCs/>
                <w:sz w:val="24"/>
                <w:szCs w:val="24"/>
                <w:lang w:eastAsia="it-IT"/>
              </w:rPr>
            </w:pPr>
          </w:p>
        </w:tc>
        <w:tc>
          <w:tcPr>
            <w:tcW w:w="0" w:type="auto"/>
            <w:vAlign w:val="center"/>
            <w:hideMark/>
          </w:tcPr>
          <w:p w:rsidR="00AE1D32" w:rsidRPr="00AE1D32" w:rsidRDefault="00AE1D32" w:rsidP="00AE1D32">
            <w:pPr>
              <w:spacing w:after="0" w:line="240" w:lineRule="auto"/>
              <w:jc w:val="center"/>
              <w:rPr>
                <w:rFonts w:ascii="Times New Roman" w:eastAsia="Times New Roman" w:hAnsi="Times New Roman" w:cs="Times New Roman"/>
                <w:b/>
                <w:bCs/>
                <w:sz w:val="24"/>
                <w:szCs w:val="24"/>
                <w:lang w:eastAsia="it-IT"/>
              </w:rPr>
            </w:pPr>
            <w:r w:rsidRPr="00AE1D32">
              <w:rPr>
                <w:rFonts w:ascii="Times New Roman" w:eastAsia="Times New Roman" w:hAnsi="Times New Roman" w:cs="Times New Roman"/>
                <w:b/>
                <w:bCs/>
                <w:sz w:val="24"/>
                <w:szCs w:val="24"/>
                <w:lang w:eastAsia="it-IT"/>
              </w:rPr>
              <w:t>IL PRESIDENTE</w:t>
            </w:r>
          </w:p>
        </w:tc>
      </w:tr>
      <w:tr w:rsidR="00AE1D32" w:rsidRPr="00AE1D32" w:rsidTr="00AE1D32">
        <w:tc>
          <w:tcPr>
            <w:tcW w:w="0" w:type="auto"/>
            <w:vAlign w:val="center"/>
            <w:hideMark/>
          </w:tcPr>
          <w:p w:rsidR="00AE1D32" w:rsidRPr="00AE1D32" w:rsidRDefault="00AE1D32" w:rsidP="00AE1D32">
            <w:pPr>
              <w:spacing w:after="0" w:line="240" w:lineRule="auto"/>
              <w:jc w:val="center"/>
              <w:rPr>
                <w:rFonts w:ascii="Times New Roman" w:eastAsia="Times New Roman" w:hAnsi="Times New Roman" w:cs="Times New Roman"/>
                <w:b/>
                <w:bCs/>
                <w:sz w:val="24"/>
                <w:szCs w:val="24"/>
                <w:lang w:eastAsia="it-IT"/>
              </w:rPr>
            </w:pPr>
            <w:r w:rsidRPr="00AE1D32">
              <w:rPr>
                <w:rFonts w:ascii="Times New Roman" w:eastAsia="Times New Roman" w:hAnsi="Times New Roman" w:cs="Times New Roman"/>
                <w:b/>
                <w:bCs/>
                <w:sz w:val="24"/>
                <w:szCs w:val="24"/>
                <w:lang w:eastAsia="it-IT"/>
              </w:rPr>
              <w:t> </w:t>
            </w:r>
          </w:p>
        </w:tc>
        <w:tc>
          <w:tcPr>
            <w:tcW w:w="0" w:type="auto"/>
            <w:vAlign w:val="center"/>
            <w:hideMark/>
          </w:tcPr>
          <w:p w:rsidR="00AE1D32" w:rsidRPr="00AE1D32" w:rsidRDefault="00AE1D32" w:rsidP="00AE1D32">
            <w:pPr>
              <w:spacing w:after="0" w:line="240" w:lineRule="auto"/>
              <w:jc w:val="center"/>
              <w:rPr>
                <w:rFonts w:ascii="Times New Roman" w:eastAsia="Times New Roman" w:hAnsi="Times New Roman" w:cs="Times New Roman"/>
                <w:b/>
                <w:bCs/>
                <w:sz w:val="24"/>
                <w:szCs w:val="24"/>
                <w:lang w:eastAsia="it-IT"/>
              </w:rPr>
            </w:pPr>
          </w:p>
        </w:tc>
        <w:tc>
          <w:tcPr>
            <w:tcW w:w="0" w:type="auto"/>
            <w:vAlign w:val="center"/>
            <w:hideMark/>
          </w:tcPr>
          <w:p w:rsidR="00AE1D32" w:rsidRPr="00AE1D32" w:rsidRDefault="00AE1D32" w:rsidP="00AE1D32">
            <w:pPr>
              <w:spacing w:after="0" w:line="240" w:lineRule="auto"/>
              <w:jc w:val="center"/>
              <w:rPr>
                <w:rFonts w:ascii="Times New Roman" w:eastAsia="Times New Roman" w:hAnsi="Times New Roman" w:cs="Times New Roman"/>
                <w:b/>
                <w:bCs/>
                <w:sz w:val="24"/>
                <w:szCs w:val="24"/>
                <w:lang w:eastAsia="it-IT"/>
              </w:rPr>
            </w:pPr>
          </w:p>
        </w:tc>
      </w:tr>
      <w:tr w:rsidR="00AE1D32" w:rsidRPr="00AE1D32" w:rsidTr="00AE1D32">
        <w:tc>
          <w:tcPr>
            <w:tcW w:w="0" w:type="auto"/>
            <w:vAlign w:val="center"/>
            <w:hideMark/>
          </w:tcPr>
          <w:p w:rsidR="00AE1D32" w:rsidRPr="00AE1D32" w:rsidRDefault="00AE1D32" w:rsidP="00AE1D32">
            <w:pPr>
              <w:spacing w:after="0" w:line="240" w:lineRule="auto"/>
              <w:jc w:val="center"/>
              <w:rPr>
                <w:rFonts w:ascii="Times New Roman" w:eastAsia="Times New Roman" w:hAnsi="Times New Roman" w:cs="Times New Roman"/>
                <w:b/>
                <w:bCs/>
                <w:sz w:val="24"/>
                <w:szCs w:val="24"/>
                <w:lang w:eastAsia="it-IT"/>
              </w:rPr>
            </w:pPr>
            <w:r w:rsidRPr="00AE1D32">
              <w:rPr>
                <w:rFonts w:ascii="Times New Roman" w:eastAsia="Times New Roman" w:hAnsi="Times New Roman" w:cs="Times New Roman"/>
                <w:b/>
                <w:bCs/>
                <w:sz w:val="24"/>
                <w:szCs w:val="24"/>
                <w:lang w:eastAsia="it-IT"/>
              </w:rPr>
              <w:t> </w:t>
            </w:r>
          </w:p>
        </w:tc>
        <w:tc>
          <w:tcPr>
            <w:tcW w:w="0" w:type="auto"/>
            <w:vAlign w:val="center"/>
            <w:hideMark/>
          </w:tcPr>
          <w:p w:rsidR="00AE1D32" w:rsidRPr="00AE1D32" w:rsidRDefault="00AE1D32" w:rsidP="00AE1D32">
            <w:pPr>
              <w:spacing w:after="0" w:line="240" w:lineRule="auto"/>
              <w:jc w:val="center"/>
              <w:rPr>
                <w:rFonts w:ascii="Times New Roman" w:eastAsia="Times New Roman" w:hAnsi="Times New Roman" w:cs="Times New Roman"/>
                <w:b/>
                <w:bCs/>
                <w:sz w:val="24"/>
                <w:szCs w:val="24"/>
                <w:lang w:eastAsia="it-IT"/>
              </w:rPr>
            </w:pPr>
          </w:p>
        </w:tc>
        <w:tc>
          <w:tcPr>
            <w:tcW w:w="0" w:type="auto"/>
            <w:vAlign w:val="center"/>
            <w:hideMark/>
          </w:tcPr>
          <w:p w:rsidR="00AE1D32" w:rsidRPr="00AE1D32" w:rsidRDefault="00AE1D32" w:rsidP="00AE1D32">
            <w:pPr>
              <w:spacing w:after="0" w:line="240" w:lineRule="auto"/>
              <w:jc w:val="center"/>
              <w:rPr>
                <w:rFonts w:ascii="Times New Roman" w:eastAsia="Times New Roman" w:hAnsi="Times New Roman" w:cs="Times New Roman"/>
                <w:b/>
                <w:bCs/>
                <w:sz w:val="24"/>
                <w:szCs w:val="24"/>
                <w:lang w:eastAsia="it-IT"/>
              </w:rPr>
            </w:pPr>
          </w:p>
        </w:tc>
      </w:tr>
      <w:tr w:rsidR="00AE1D32" w:rsidRPr="00AE1D32" w:rsidTr="00AE1D32">
        <w:tc>
          <w:tcPr>
            <w:tcW w:w="0" w:type="auto"/>
            <w:vAlign w:val="center"/>
            <w:hideMark/>
          </w:tcPr>
          <w:p w:rsidR="00AE1D32" w:rsidRPr="00AE1D32" w:rsidRDefault="00AE1D32" w:rsidP="00AE1D32">
            <w:pPr>
              <w:spacing w:after="0" w:line="240" w:lineRule="auto"/>
              <w:jc w:val="center"/>
              <w:rPr>
                <w:rFonts w:ascii="Times New Roman" w:eastAsia="Times New Roman" w:hAnsi="Times New Roman" w:cs="Times New Roman"/>
                <w:b/>
                <w:bCs/>
                <w:sz w:val="24"/>
                <w:szCs w:val="24"/>
                <w:lang w:eastAsia="it-IT"/>
              </w:rPr>
            </w:pPr>
            <w:r w:rsidRPr="00AE1D32">
              <w:rPr>
                <w:rFonts w:ascii="Times New Roman" w:eastAsia="Times New Roman" w:hAnsi="Times New Roman" w:cs="Times New Roman"/>
                <w:b/>
                <w:bCs/>
                <w:sz w:val="24"/>
                <w:szCs w:val="24"/>
                <w:lang w:eastAsia="it-IT"/>
              </w:rPr>
              <w:t> </w:t>
            </w:r>
          </w:p>
        </w:tc>
        <w:tc>
          <w:tcPr>
            <w:tcW w:w="0" w:type="auto"/>
            <w:vAlign w:val="center"/>
            <w:hideMark/>
          </w:tcPr>
          <w:p w:rsidR="00AE1D32" w:rsidRPr="00AE1D32" w:rsidRDefault="00AE1D32" w:rsidP="00AE1D32">
            <w:pPr>
              <w:spacing w:after="0" w:line="240" w:lineRule="auto"/>
              <w:jc w:val="center"/>
              <w:rPr>
                <w:rFonts w:ascii="Times New Roman" w:eastAsia="Times New Roman" w:hAnsi="Times New Roman" w:cs="Times New Roman"/>
                <w:b/>
                <w:bCs/>
                <w:sz w:val="24"/>
                <w:szCs w:val="24"/>
                <w:lang w:eastAsia="it-IT"/>
              </w:rPr>
            </w:pPr>
          </w:p>
        </w:tc>
        <w:tc>
          <w:tcPr>
            <w:tcW w:w="0" w:type="auto"/>
            <w:vAlign w:val="center"/>
            <w:hideMark/>
          </w:tcPr>
          <w:p w:rsidR="00AE1D32" w:rsidRPr="00AE1D32" w:rsidRDefault="00AE1D32" w:rsidP="00AE1D32">
            <w:pPr>
              <w:spacing w:after="0" w:line="240" w:lineRule="auto"/>
              <w:jc w:val="center"/>
              <w:rPr>
                <w:rFonts w:ascii="Times New Roman" w:eastAsia="Times New Roman" w:hAnsi="Times New Roman" w:cs="Times New Roman"/>
                <w:b/>
                <w:bCs/>
                <w:sz w:val="24"/>
                <w:szCs w:val="24"/>
                <w:lang w:eastAsia="it-IT"/>
              </w:rPr>
            </w:pPr>
          </w:p>
        </w:tc>
      </w:tr>
      <w:tr w:rsidR="00AE1D32" w:rsidRPr="00AE1D32" w:rsidTr="00AE1D32">
        <w:tc>
          <w:tcPr>
            <w:tcW w:w="0" w:type="auto"/>
            <w:vAlign w:val="center"/>
            <w:hideMark/>
          </w:tcPr>
          <w:p w:rsidR="00AE1D32" w:rsidRPr="00AE1D32" w:rsidRDefault="00AE1D32" w:rsidP="00AE1D32">
            <w:pPr>
              <w:spacing w:after="0" w:line="240" w:lineRule="auto"/>
              <w:jc w:val="center"/>
              <w:rPr>
                <w:rFonts w:ascii="Times New Roman" w:eastAsia="Times New Roman" w:hAnsi="Times New Roman" w:cs="Times New Roman"/>
                <w:b/>
                <w:bCs/>
                <w:sz w:val="24"/>
                <w:szCs w:val="24"/>
                <w:lang w:eastAsia="it-IT"/>
              </w:rPr>
            </w:pPr>
            <w:r w:rsidRPr="00AE1D32">
              <w:rPr>
                <w:rFonts w:ascii="Times New Roman" w:eastAsia="Times New Roman" w:hAnsi="Times New Roman" w:cs="Times New Roman"/>
                <w:b/>
                <w:bCs/>
                <w:sz w:val="24"/>
                <w:szCs w:val="24"/>
                <w:lang w:eastAsia="it-IT"/>
              </w:rPr>
              <w:t> </w:t>
            </w:r>
          </w:p>
        </w:tc>
        <w:tc>
          <w:tcPr>
            <w:tcW w:w="0" w:type="auto"/>
            <w:vAlign w:val="center"/>
            <w:hideMark/>
          </w:tcPr>
          <w:p w:rsidR="00AE1D32" w:rsidRPr="00AE1D32" w:rsidRDefault="00AE1D32" w:rsidP="00AE1D32">
            <w:pPr>
              <w:spacing w:after="0" w:line="240" w:lineRule="auto"/>
              <w:jc w:val="center"/>
              <w:rPr>
                <w:rFonts w:ascii="Times New Roman" w:eastAsia="Times New Roman" w:hAnsi="Times New Roman" w:cs="Times New Roman"/>
                <w:b/>
                <w:bCs/>
                <w:sz w:val="24"/>
                <w:szCs w:val="24"/>
                <w:lang w:eastAsia="it-IT"/>
              </w:rPr>
            </w:pPr>
          </w:p>
        </w:tc>
        <w:tc>
          <w:tcPr>
            <w:tcW w:w="0" w:type="auto"/>
            <w:vAlign w:val="center"/>
            <w:hideMark/>
          </w:tcPr>
          <w:p w:rsidR="00AE1D32" w:rsidRPr="00AE1D32" w:rsidRDefault="00AE1D32" w:rsidP="00AE1D32">
            <w:pPr>
              <w:spacing w:after="0" w:line="240" w:lineRule="auto"/>
              <w:jc w:val="center"/>
              <w:rPr>
                <w:rFonts w:ascii="Times New Roman" w:eastAsia="Times New Roman" w:hAnsi="Times New Roman" w:cs="Times New Roman"/>
                <w:b/>
                <w:bCs/>
                <w:sz w:val="24"/>
                <w:szCs w:val="24"/>
                <w:lang w:eastAsia="it-IT"/>
              </w:rPr>
            </w:pPr>
          </w:p>
        </w:tc>
      </w:tr>
      <w:tr w:rsidR="00AE1D32" w:rsidRPr="00AE1D32" w:rsidTr="00AE1D32">
        <w:tc>
          <w:tcPr>
            <w:tcW w:w="0" w:type="auto"/>
            <w:vAlign w:val="center"/>
            <w:hideMark/>
          </w:tcPr>
          <w:p w:rsidR="00AE1D32" w:rsidRPr="00AE1D32" w:rsidRDefault="00AE1D32" w:rsidP="00AE1D32">
            <w:pPr>
              <w:spacing w:after="0" w:line="240" w:lineRule="auto"/>
              <w:jc w:val="center"/>
              <w:rPr>
                <w:rFonts w:ascii="Times New Roman" w:eastAsia="Times New Roman" w:hAnsi="Times New Roman" w:cs="Times New Roman"/>
                <w:b/>
                <w:bCs/>
                <w:sz w:val="24"/>
                <w:szCs w:val="24"/>
                <w:lang w:eastAsia="it-IT"/>
              </w:rPr>
            </w:pPr>
            <w:r w:rsidRPr="00AE1D32">
              <w:rPr>
                <w:rFonts w:ascii="Times New Roman" w:eastAsia="Times New Roman" w:hAnsi="Times New Roman" w:cs="Times New Roman"/>
                <w:b/>
                <w:bCs/>
                <w:sz w:val="24"/>
                <w:szCs w:val="24"/>
                <w:lang w:eastAsia="it-IT"/>
              </w:rPr>
              <w:t> </w:t>
            </w:r>
          </w:p>
        </w:tc>
        <w:tc>
          <w:tcPr>
            <w:tcW w:w="0" w:type="auto"/>
            <w:vAlign w:val="center"/>
            <w:hideMark/>
          </w:tcPr>
          <w:p w:rsidR="00AE1D32" w:rsidRPr="00AE1D32" w:rsidRDefault="00AE1D32" w:rsidP="00AE1D32">
            <w:pPr>
              <w:spacing w:after="0" w:line="240" w:lineRule="auto"/>
              <w:jc w:val="center"/>
              <w:rPr>
                <w:rFonts w:ascii="Times New Roman" w:eastAsia="Times New Roman" w:hAnsi="Times New Roman" w:cs="Times New Roman"/>
                <w:b/>
                <w:bCs/>
                <w:sz w:val="24"/>
                <w:szCs w:val="24"/>
                <w:lang w:eastAsia="it-IT"/>
              </w:rPr>
            </w:pPr>
          </w:p>
        </w:tc>
        <w:tc>
          <w:tcPr>
            <w:tcW w:w="0" w:type="auto"/>
            <w:vAlign w:val="center"/>
            <w:hideMark/>
          </w:tcPr>
          <w:p w:rsidR="00AE1D32" w:rsidRPr="00AE1D32" w:rsidRDefault="00AE1D32" w:rsidP="00AE1D32">
            <w:pPr>
              <w:spacing w:after="0" w:line="240" w:lineRule="auto"/>
              <w:jc w:val="center"/>
              <w:rPr>
                <w:rFonts w:ascii="Times New Roman" w:eastAsia="Times New Roman" w:hAnsi="Times New Roman" w:cs="Times New Roman"/>
                <w:b/>
                <w:bCs/>
                <w:sz w:val="24"/>
                <w:szCs w:val="24"/>
                <w:lang w:eastAsia="it-IT"/>
              </w:rPr>
            </w:pPr>
          </w:p>
        </w:tc>
      </w:tr>
    </w:tbl>
    <w:p w:rsidR="00AE1D32" w:rsidRPr="00AE1D32" w:rsidRDefault="00AE1D32" w:rsidP="00AE1D32">
      <w:pPr>
        <w:spacing w:after="0" w:line="540" w:lineRule="atLeast"/>
        <w:jc w:val="center"/>
        <w:rPr>
          <w:rFonts w:ascii="Garamond" w:eastAsia="Times New Roman" w:hAnsi="Garamond" w:cs="Times New Roman"/>
          <w:sz w:val="24"/>
          <w:szCs w:val="24"/>
          <w:lang w:eastAsia="it-IT"/>
        </w:rPr>
      </w:pPr>
      <w:r w:rsidRPr="00AE1D32">
        <w:rPr>
          <w:rFonts w:ascii="Garamond" w:eastAsia="Times New Roman" w:hAnsi="Garamond" w:cs="Times New Roman"/>
          <w:sz w:val="24"/>
          <w:szCs w:val="24"/>
          <w:lang w:eastAsia="it-IT"/>
        </w:rPr>
        <w:t>DEPOSITATA IN SEGRETERIA</w:t>
      </w:r>
    </w:p>
    <w:p w:rsidR="00AE1D32" w:rsidRPr="00AE1D32" w:rsidRDefault="00AE1D32" w:rsidP="00AE1D32">
      <w:pPr>
        <w:spacing w:after="0" w:line="540" w:lineRule="atLeast"/>
        <w:jc w:val="center"/>
        <w:rPr>
          <w:rFonts w:ascii="Garamond" w:eastAsia="Times New Roman" w:hAnsi="Garamond" w:cs="Times New Roman"/>
          <w:sz w:val="24"/>
          <w:szCs w:val="24"/>
          <w:lang w:eastAsia="it-IT"/>
        </w:rPr>
      </w:pPr>
      <w:r w:rsidRPr="00AE1D32">
        <w:rPr>
          <w:rFonts w:ascii="Garamond" w:eastAsia="Times New Roman" w:hAnsi="Garamond" w:cs="Times New Roman"/>
          <w:sz w:val="24"/>
          <w:szCs w:val="24"/>
          <w:lang w:eastAsia="it-IT"/>
        </w:rPr>
        <w:t>Il 25/07/2013</w:t>
      </w:r>
    </w:p>
    <w:p w:rsidR="00AE1D32" w:rsidRPr="00AE1D32" w:rsidRDefault="00AE1D32" w:rsidP="00AE1D32">
      <w:pPr>
        <w:spacing w:after="0" w:line="540" w:lineRule="atLeast"/>
        <w:jc w:val="center"/>
        <w:rPr>
          <w:rFonts w:ascii="Garamond" w:eastAsia="Times New Roman" w:hAnsi="Garamond" w:cs="Times New Roman"/>
          <w:sz w:val="24"/>
          <w:szCs w:val="24"/>
          <w:lang w:eastAsia="it-IT"/>
        </w:rPr>
      </w:pPr>
      <w:r w:rsidRPr="00AE1D32">
        <w:rPr>
          <w:rFonts w:ascii="Garamond" w:eastAsia="Times New Roman" w:hAnsi="Garamond" w:cs="Times New Roman"/>
          <w:sz w:val="24"/>
          <w:szCs w:val="24"/>
          <w:lang w:eastAsia="it-IT"/>
        </w:rPr>
        <w:t>IL SEGRETARIO</w:t>
      </w:r>
    </w:p>
    <w:p w:rsidR="00AE1D32" w:rsidRPr="00AE1D32" w:rsidRDefault="00AE1D32" w:rsidP="00AE1D32">
      <w:pPr>
        <w:spacing w:line="540" w:lineRule="atLeast"/>
        <w:jc w:val="center"/>
        <w:rPr>
          <w:rFonts w:ascii="Garamond" w:eastAsia="Times New Roman" w:hAnsi="Garamond" w:cs="Times New Roman"/>
          <w:sz w:val="24"/>
          <w:szCs w:val="24"/>
          <w:lang w:val="en-US" w:eastAsia="it-IT"/>
        </w:rPr>
      </w:pPr>
      <w:r w:rsidRPr="00AE1D32">
        <w:rPr>
          <w:rFonts w:ascii="Garamond" w:eastAsia="Times New Roman" w:hAnsi="Garamond" w:cs="Times New Roman"/>
          <w:sz w:val="24"/>
          <w:szCs w:val="24"/>
          <w:lang w:val="en-US" w:eastAsia="it-IT"/>
        </w:rPr>
        <w:t xml:space="preserve">(Art. 89, co. 3, cod. proc. </w:t>
      </w:r>
      <w:proofErr w:type="spellStart"/>
      <w:r w:rsidRPr="00AE1D32">
        <w:rPr>
          <w:rFonts w:ascii="Garamond" w:eastAsia="Times New Roman" w:hAnsi="Garamond" w:cs="Times New Roman"/>
          <w:sz w:val="24"/>
          <w:szCs w:val="24"/>
          <w:lang w:val="en-US" w:eastAsia="it-IT"/>
        </w:rPr>
        <w:t>amm</w:t>
      </w:r>
      <w:proofErr w:type="spellEnd"/>
      <w:r w:rsidRPr="00AE1D32">
        <w:rPr>
          <w:rFonts w:ascii="Garamond" w:eastAsia="Times New Roman" w:hAnsi="Garamond" w:cs="Times New Roman"/>
          <w:sz w:val="24"/>
          <w:szCs w:val="24"/>
          <w:lang w:val="en-US" w:eastAsia="it-IT"/>
        </w:rPr>
        <w:t>.)</w:t>
      </w:r>
    </w:p>
    <w:p w:rsidR="00272420" w:rsidRPr="00AE1D32" w:rsidRDefault="00272420">
      <w:pPr>
        <w:rPr>
          <w:sz w:val="24"/>
          <w:szCs w:val="24"/>
          <w:lang w:val="en-US"/>
        </w:rPr>
      </w:pPr>
    </w:p>
    <w:sectPr w:rsidR="00272420" w:rsidRPr="00AE1D32" w:rsidSect="00272420">
      <w:footerReference w:type="default" r:id="rId7"/>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7700" w:rsidRDefault="007B7700" w:rsidP="00AE1D32">
      <w:pPr>
        <w:spacing w:after="0" w:line="240" w:lineRule="auto"/>
      </w:pPr>
      <w:r>
        <w:separator/>
      </w:r>
    </w:p>
  </w:endnote>
  <w:endnote w:type="continuationSeparator" w:id="0">
    <w:p w:rsidR="007B7700" w:rsidRDefault="007B7700" w:rsidP="00AE1D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 Nordic">
    <w:altName w:val="Times New Roman"/>
    <w:panose1 w:val="00000000000000000000"/>
    <w:charset w:val="00"/>
    <w:family w:val="roman"/>
    <w:notTrueType/>
    <w:pitch w:val="default"/>
    <w:sig w:usb0="00000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84907"/>
      <w:docPartObj>
        <w:docPartGallery w:val="Page Numbers (Bottom of Page)"/>
        <w:docPartUnique/>
      </w:docPartObj>
    </w:sdtPr>
    <w:sdtContent>
      <w:p w:rsidR="00AE1D32" w:rsidRDefault="00AE1D32">
        <w:pPr>
          <w:pStyle w:val="Pidipagina"/>
          <w:jc w:val="right"/>
        </w:pPr>
        <w:fldSimple w:instr=" PAGE   \* MERGEFORMAT ">
          <w:r w:rsidR="00F40889">
            <w:rPr>
              <w:noProof/>
            </w:rPr>
            <w:t>9</w:t>
          </w:r>
        </w:fldSimple>
      </w:p>
    </w:sdtContent>
  </w:sdt>
  <w:p w:rsidR="00AE1D32" w:rsidRDefault="00AE1D32">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7700" w:rsidRDefault="007B7700" w:rsidP="00AE1D32">
      <w:pPr>
        <w:spacing w:after="0" w:line="240" w:lineRule="auto"/>
      </w:pPr>
      <w:r>
        <w:separator/>
      </w:r>
    </w:p>
  </w:footnote>
  <w:footnote w:type="continuationSeparator" w:id="0">
    <w:p w:rsidR="007B7700" w:rsidRDefault="007B7700" w:rsidP="00AE1D3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AE1D32"/>
    <w:rsid w:val="00272420"/>
    <w:rsid w:val="007B7700"/>
    <w:rsid w:val="009C1044"/>
    <w:rsid w:val="00AE1D32"/>
    <w:rsid w:val="00E618C0"/>
    <w:rsid w:val="00F4088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7242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registri">
    <w:name w:val="registri"/>
    <w:basedOn w:val="Normale"/>
    <w:rsid w:val="00AE1D32"/>
    <w:pPr>
      <w:spacing w:before="100" w:beforeAutospacing="1" w:after="100" w:afterAutospacing="1" w:line="0" w:lineRule="atLeast"/>
      <w:jc w:val="right"/>
    </w:pPr>
    <w:rPr>
      <w:rFonts w:ascii="Times Nordic" w:eastAsia="Times New Roman" w:hAnsi="Times Nordic" w:cs="Times New Roman"/>
      <w:b/>
      <w:bCs/>
      <w:lang w:eastAsia="it-IT"/>
    </w:rPr>
  </w:style>
  <w:style w:type="paragraph" w:customStyle="1" w:styleId="repubblica">
    <w:name w:val="repubblica"/>
    <w:basedOn w:val="Normale"/>
    <w:rsid w:val="00AE1D32"/>
    <w:pPr>
      <w:spacing w:before="100" w:beforeAutospacing="1" w:after="100" w:afterAutospacing="1" w:line="240" w:lineRule="auto"/>
      <w:jc w:val="center"/>
    </w:pPr>
    <w:rPr>
      <w:rFonts w:ascii="Garamond" w:eastAsia="Times New Roman" w:hAnsi="Garamond" w:cs="Times New Roman"/>
      <w:b/>
      <w:bCs/>
      <w:color w:val="000000"/>
      <w:spacing w:val="150"/>
      <w:sz w:val="24"/>
      <w:szCs w:val="24"/>
      <w:lang w:eastAsia="it-IT"/>
    </w:rPr>
  </w:style>
  <w:style w:type="paragraph" w:customStyle="1" w:styleId="popolo">
    <w:name w:val="popolo"/>
    <w:basedOn w:val="Normale"/>
    <w:rsid w:val="00AE1D32"/>
    <w:pPr>
      <w:spacing w:after="0" w:line="520" w:lineRule="atLeast"/>
      <w:jc w:val="both"/>
    </w:pPr>
    <w:rPr>
      <w:rFonts w:ascii="Garamond" w:eastAsia="Times New Roman" w:hAnsi="Garamond" w:cs="Times New Roman"/>
      <w:sz w:val="30"/>
      <w:szCs w:val="30"/>
      <w:lang w:eastAsia="it-IT"/>
    </w:rPr>
  </w:style>
  <w:style w:type="paragraph" w:customStyle="1" w:styleId="sezione">
    <w:name w:val="sezione"/>
    <w:basedOn w:val="Normale"/>
    <w:rsid w:val="00AE1D32"/>
    <w:pPr>
      <w:spacing w:before="100" w:beforeAutospacing="1" w:after="100" w:afterAutospacing="1" w:line="240" w:lineRule="auto"/>
      <w:jc w:val="center"/>
    </w:pPr>
    <w:rPr>
      <w:rFonts w:ascii="Garamond" w:eastAsia="Times New Roman" w:hAnsi="Garamond" w:cs="Times New Roman"/>
      <w:b/>
      <w:bCs/>
      <w:color w:val="000000"/>
      <w:sz w:val="26"/>
      <w:szCs w:val="26"/>
      <w:lang w:eastAsia="it-IT"/>
    </w:rPr>
  </w:style>
  <w:style w:type="paragraph" w:customStyle="1" w:styleId="innome">
    <w:name w:val="innome"/>
    <w:basedOn w:val="Normale"/>
    <w:rsid w:val="00AE1D32"/>
    <w:pPr>
      <w:spacing w:before="100" w:beforeAutospacing="1" w:after="100" w:afterAutospacing="1" w:line="240" w:lineRule="auto"/>
      <w:jc w:val="center"/>
    </w:pPr>
    <w:rPr>
      <w:rFonts w:ascii="Garamond" w:eastAsia="Times New Roman" w:hAnsi="Garamond" w:cs="Times New Roman"/>
      <w:b/>
      <w:bCs/>
      <w:color w:val="000000"/>
      <w:lang w:eastAsia="it-IT"/>
    </w:rPr>
  </w:style>
  <w:style w:type="paragraph" w:customStyle="1" w:styleId="contro">
    <w:name w:val="contro"/>
    <w:basedOn w:val="Normale"/>
    <w:rsid w:val="00AE1D32"/>
    <w:pPr>
      <w:spacing w:after="0" w:line="520" w:lineRule="atLeast"/>
      <w:jc w:val="center"/>
    </w:pPr>
    <w:rPr>
      <w:rFonts w:ascii="Garamond" w:eastAsia="Times New Roman" w:hAnsi="Garamond" w:cs="Times New Roman"/>
      <w:b/>
      <w:bCs/>
      <w:i/>
      <w:iCs/>
      <w:sz w:val="30"/>
      <w:szCs w:val="30"/>
      <w:lang w:eastAsia="it-IT"/>
    </w:rPr>
  </w:style>
  <w:style w:type="paragraph" w:customStyle="1" w:styleId="tabula">
    <w:name w:val="tabula"/>
    <w:basedOn w:val="Normale"/>
    <w:rsid w:val="00AE1D32"/>
    <w:pPr>
      <w:spacing w:after="0" w:line="520" w:lineRule="atLeast"/>
      <w:ind w:firstLine="567"/>
    </w:pPr>
    <w:rPr>
      <w:rFonts w:ascii="Garamond" w:eastAsia="Times New Roman" w:hAnsi="Garamond" w:cs="Times New Roman"/>
      <w:sz w:val="30"/>
      <w:szCs w:val="30"/>
      <w:lang w:eastAsia="it-IT"/>
    </w:rPr>
  </w:style>
  <w:style w:type="paragraph" w:customStyle="1" w:styleId="fatto">
    <w:name w:val="fatto"/>
    <w:basedOn w:val="Normale"/>
    <w:rsid w:val="00AE1D32"/>
    <w:pPr>
      <w:spacing w:after="0" w:line="540" w:lineRule="atLeast"/>
      <w:jc w:val="center"/>
    </w:pPr>
    <w:rPr>
      <w:rFonts w:ascii="Garamond" w:eastAsia="Times New Roman" w:hAnsi="Garamond" w:cs="Times New Roman"/>
      <w:sz w:val="30"/>
      <w:szCs w:val="30"/>
      <w:lang w:eastAsia="it-IT"/>
    </w:rPr>
  </w:style>
  <w:style w:type="paragraph" w:styleId="Testofumetto">
    <w:name w:val="Balloon Text"/>
    <w:basedOn w:val="Normale"/>
    <w:link w:val="TestofumettoCarattere"/>
    <w:uiPriority w:val="99"/>
    <w:semiHidden/>
    <w:unhideWhenUsed/>
    <w:rsid w:val="00AE1D3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E1D32"/>
    <w:rPr>
      <w:rFonts w:ascii="Tahoma" w:hAnsi="Tahoma" w:cs="Tahoma"/>
      <w:sz w:val="16"/>
      <w:szCs w:val="16"/>
    </w:rPr>
  </w:style>
  <w:style w:type="paragraph" w:styleId="Intestazione">
    <w:name w:val="header"/>
    <w:basedOn w:val="Normale"/>
    <w:link w:val="IntestazioneCarattere"/>
    <w:uiPriority w:val="99"/>
    <w:semiHidden/>
    <w:unhideWhenUsed/>
    <w:rsid w:val="00AE1D3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AE1D32"/>
  </w:style>
  <w:style w:type="paragraph" w:styleId="Pidipagina">
    <w:name w:val="footer"/>
    <w:basedOn w:val="Normale"/>
    <w:link w:val="PidipaginaCarattere"/>
    <w:uiPriority w:val="99"/>
    <w:unhideWhenUsed/>
    <w:rsid w:val="00AE1D3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E1D32"/>
  </w:style>
</w:styles>
</file>

<file path=word/webSettings.xml><?xml version="1.0" encoding="utf-8"?>
<w:webSettings xmlns:r="http://schemas.openxmlformats.org/officeDocument/2006/relationships" xmlns:w="http://schemas.openxmlformats.org/wordprocessingml/2006/main">
  <w:divs>
    <w:div w:id="400521551">
      <w:bodyDiv w:val="1"/>
      <w:marLeft w:val="851"/>
      <w:marRight w:val="851"/>
      <w:marTop w:val="1134"/>
      <w:marBottom w:val="567"/>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3358</Words>
  <Characters>19146</Characters>
  <Application>Microsoft Office Word</Application>
  <DocSecurity>0</DocSecurity>
  <Lines>159</Lines>
  <Paragraphs>44</Paragraphs>
  <ScaleCrop>false</ScaleCrop>
  <Company>Giunta regionale</Company>
  <LinksUpToDate>false</LinksUpToDate>
  <CharactersWithSpaces>22460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carmela.salerno</dc:creator>
  <cp:keywords/>
  <dc:description/>
  <cp:lastModifiedBy>carmela.salerno</cp:lastModifiedBy>
  <cp:revision>2</cp:revision>
  <dcterms:created xsi:type="dcterms:W3CDTF">2013-08-13T09:55:00Z</dcterms:created>
  <dcterms:modified xsi:type="dcterms:W3CDTF">2013-08-13T09:58:00Z</dcterms:modified>
</cp:coreProperties>
</file>