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F1E" w:rsidRPr="00FE0F1E" w:rsidRDefault="00FE0F1E" w:rsidP="00FE0F1E">
      <w:pPr>
        <w:spacing w:before="100" w:beforeAutospacing="1" w:after="100" w:afterAutospacing="1" w:line="0" w:lineRule="atLeast"/>
        <w:jc w:val="right"/>
        <w:rPr>
          <w:rFonts w:ascii="Times Nordic" w:eastAsia="Times New Roman" w:hAnsi="Times Nordic" w:cs="Times New Roman"/>
          <w:b/>
          <w:bCs/>
          <w:sz w:val="24"/>
          <w:szCs w:val="24"/>
          <w:lang w:val="en-US" w:eastAsia="it-IT"/>
        </w:rPr>
      </w:pPr>
      <w:r w:rsidRPr="00FE0F1E">
        <w:rPr>
          <w:rFonts w:ascii="Times Nordic" w:eastAsia="Times New Roman" w:hAnsi="Times Nordic" w:cs="Times New Roman"/>
          <w:b/>
          <w:bCs/>
          <w:sz w:val="24"/>
          <w:szCs w:val="24"/>
          <w:lang w:val="en-US" w:eastAsia="it-IT"/>
        </w:rPr>
        <w:t>N. 03647/2013REG.PROV.COLL.</w:t>
      </w:r>
    </w:p>
    <w:p w:rsidR="00FE0F1E" w:rsidRPr="00FE0F1E" w:rsidRDefault="00FE0F1E" w:rsidP="00FE0F1E">
      <w:pPr>
        <w:spacing w:before="100" w:beforeAutospacing="1" w:after="100" w:afterAutospacing="1" w:line="0" w:lineRule="atLeast"/>
        <w:jc w:val="right"/>
        <w:rPr>
          <w:rFonts w:ascii="Times Nordic" w:eastAsia="Times New Roman" w:hAnsi="Times Nordic" w:cs="Times New Roman"/>
          <w:b/>
          <w:bCs/>
          <w:sz w:val="24"/>
          <w:szCs w:val="24"/>
          <w:lang w:val="en-US" w:eastAsia="it-IT"/>
        </w:rPr>
      </w:pPr>
      <w:r w:rsidRPr="00FE0F1E">
        <w:rPr>
          <w:rFonts w:ascii="Times Nordic" w:eastAsia="Times New Roman" w:hAnsi="Times Nordic" w:cs="Times New Roman"/>
          <w:b/>
          <w:bCs/>
          <w:sz w:val="24"/>
          <w:szCs w:val="24"/>
          <w:lang w:val="en-US" w:eastAsia="it-IT"/>
        </w:rPr>
        <w:t>N. 06783/2004 REG.RIC.</w:t>
      </w:r>
    </w:p>
    <w:p w:rsidR="00FE0F1E" w:rsidRPr="00FE0F1E" w:rsidRDefault="00FE0F1E" w:rsidP="00FE0F1E">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FE0F1E">
        <w:rPr>
          <w:rFonts w:ascii="Garamond" w:eastAsia="Times New Roman" w:hAnsi="Garamond" w:cs="Times New Roman"/>
          <w:b/>
          <w:bCs/>
          <w:noProof/>
          <w:color w:val="000000"/>
          <w:spacing w:val="150"/>
          <w:sz w:val="24"/>
          <w:szCs w:val="24"/>
          <w:lang w:eastAsia="it-IT"/>
        </w:rPr>
        <w:drawing>
          <wp:inline distT="0" distB="0" distL="0" distR="0">
            <wp:extent cx="723900" cy="828675"/>
            <wp:effectExtent l="19050" t="0" r="0" b="0"/>
            <wp:docPr id="1" name="Immagine 1" descr="http://www.giustizia-amministrativa.it/DocumentiGA/Consiglio%20di%20Stato/Sezione%203/2004/200406783/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izia-amministrativa.it/DocumentiGA/Consiglio%20di%20Stato/Sezione%203/2004/200406783/Provvedimenti/stemma.jpg"/>
                    <pic:cNvPicPr>
                      <a:picLocks noChangeAspect="1" noChangeArrowheads="1"/>
                    </pic:cNvPicPr>
                  </pic:nvPicPr>
                  <pic:blipFill>
                    <a:blip r:embed="rId6"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FE0F1E" w:rsidRPr="00FE0F1E" w:rsidRDefault="00FE0F1E" w:rsidP="00FE0F1E">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FE0F1E">
        <w:rPr>
          <w:rFonts w:ascii="Garamond" w:eastAsia="Times New Roman" w:hAnsi="Garamond" w:cs="Times New Roman"/>
          <w:b/>
          <w:bCs/>
          <w:color w:val="000000"/>
          <w:spacing w:val="150"/>
          <w:sz w:val="24"/>
          <w:szCs w:val="24"/>
          <w:lang w:eastAsia="it-IT"/>
        </w:rPr>
        <w:t>REPUBBLICA ITALIANA</w:t>
      </w:r>
    </w:p>
    <w:p w:rsidR="00FE0F1E" w:rsidRPr="00FE0F1E" w:rsidRDefault="00FE0F1E" w:rsidP="00FE0F1E">
      <w:pPr>
        <w:spacing w:before="100" w:beforeAutospacing="1" w:after="100" w:afterAutospacing="1" w:line="240" w:lineRule="auto"/>
        <w:jc w:val="center"/>
        <w:rPr>
          <w:rFonts w:ascii="Garamond" w:eastAsia="Times New Roman" w:hAnsi="Garamond" w:cs="Times New Roman"/>
          <w:b/>
          <w:bCs/>
          <w:color w:val="000000"/>
          <w:sz w:val="24"/>
          <w:szCs w:val="24"/>
          <w:lang w:eastAsia="it-IT"/>
        </w:rPr>
      </w:pPr>
      <w:r w:rsidRPr="00FE0F1E">
        <w:rPr>
          <w:rFonts w:ascii="Garamond" w:eastAsia="Times New Roman" w:hAnsi="Garamond" w:cs="Times New Roman"/>
          <w:b/>
          <w:bCs/>
          <w:color w:val="000000"/>
          <w:sz w:val="24"/>
          <w:szCs w:val="24"/>
          <w:lang w:eastAsia="it-IT"/>
        </w:rPr>
        <w:t>IN NOME DEL POPOLO ITALIANO</w:t>
      </w:r>
    </w:p>
    <w:p w:rsidR="00FE0F1E" w:rsidRPr="00FE0F1E" w:rsidRDefault="00FE0F1E" w:rsidP="00FE0F1E">
      <w:pPr>
        <w:spacing w:before="100" w:beforeAutospacing="1" w:after="100" w:afterAutospacing="1" w:line="240" w:lineRule="auto"/>
        <w:jc w:val="center"/>
        <w:rPr>
          <w:rFonts w:ascii="Garamond" w:eastAsia="Times New Roman" w:hAnsi="Garamond" w:cs="Times New Roman"/>
          <w:b/>
          <w:bCs/>
          <w:color w:val="000000"/>
          <w:sz w:val="24"/>
          <w:szCs w:val="24"/>
          <w:lang w:eastAsia="it-IT"/>
        </w:rPr>
      </w:pPr>
      <w:r w:rsidRPr="00FE0F1E">
        <w:rPr>
          <w:rFonts w:ascii="Garamond" w:eastAsia="Times New Roman" w:hAnsi="Garamond" w:cs="Times New Roman"/>
          <w:b/>
          <w:bCs/>
          <w:color w:val="000000"/>
          <w:sz w:val="24"/>
          <w:szCs w:val="24"/>
          <w:lang w:eastAsia="it-IT"/>
        </w:rPr>
        <w:t>Il Consiglio di Stato</w:t>
      </w:r>
    </w:p>
    <w:p w:rsidR="00FE0F1E" w:rsidRPr="00FE0F1E" w:rsidRDefault="00FE0F1E" w:rsidP="00FE0F1E">
      <w:pPr>
        <w:spacing w:before="100" w:beforeAutospacing="1" w:after="100" w:afterAutospacing="1" w:line="240" w:lineRule="auto"/>
        <w:jc w:val="center"/>
        <w:rPr>
          <w:rFonts w:ascii="Garamond" w:eastAsia="Times New Roman" w:hAnsi="Garamond" w:cs="Times New Roman"/>
          <w:b/>
          <w:bCs/>
          <w:color w:val="000000"/>
          <w:sz w:val="24"/>
          <w:szCs w:val="24"/>
          <w:lang w:eastAsia="it-IT"/>
        </w:rPr>
      </w:pPr>
      <w:r w:rsidRPr="00FE0F1E">
        <w:rPr>
          <w:rFonts w:ascii="Garamond" w:eastAsia="Times New Roman" w:hAnsi="Garamond" w:cs="Times New Roman"/>
          <w:b/>
          <w:bCs/>
          <w:color w:val="000000"/>
          <w:sz w:val="24"/>
          <w:szCs w:val="24"/>
          <w:lang w:eastAsia="it-IT"/>
        </w:rPr>
        <w:t>in sede giurisdizionale (Sezione Terza)</w:t>
      </w:r>
    </w:p>
    <w:p w:rsidR="00FE0F1E" w:rsidRPr="00FE0F1E" w:rsidRDefault="00FE0F1E" w:rsidP="00FE0F1E">
      <w:pPr>
        <w:spacing w:after="0" w:line="520" w:lineRule="atLeast"/>
        <w:ind w:firstLine="567"/>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ha pronunciato la presente</w:t>
      </w:r>
    </w:p>
    <w:p w:rsidR="00FE0F1E" w:rsidRPr="00FE0F1E" w:rsidRDefault="00FE0F1E" w:rsidP="00FE0F1E">
      <w:pPr>
        <w:spacing w:before="100" w:beforeAutospacing="1" w:after="100" w:afterAutospacing="1" w:line="240" w:lineRule="auto"/>
        <w:jc w:val="center"/>
        <w:rPr>
          <w:rFonts w:ascii="Garamond" w:eastAsia="Times New Roman" w:hAnsi="Garamond" w:cs="Times New Roman"/>
          <w:b/>
          <w:bCs/>
          <w:color w:val="000000"/>
          <w:sz w:val="24"/>
          <w:szCs w:val="24"/>
          <w:lang w:eastAsia="it-IT"/>
        </w:rPr>
      </w:pPr>
      <w:r w:rsidRPr="00FE0F1E">
        <w:rPr>
          <w:rFonts w:ascii="Garamond" w:eastAsia="Times New Roman" w:hAnsi="Garamond" w:cs="Times New Roman"/>
          <w:b/>
          <w:bCs/>
          <w:color w:val="000000"/>
          <w:sz w:val="24"/>
          <w:szCs w:val="24"/>
          <w:lang w:eastAsia="it-IT"/>
        </w:rPr>
        <w:t>SENTENZA</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 xml:space="preserve">sul ricorso numero di registro generale 6783 del 2004, proposto da: </w:t>
      </w:r>
      <w:r w:rsidRPr="00FE0F1E">
        <w:rPr>
          <w:rFonts w:ascii="Garamond" w:eastAsia="Times New Roman" w:hAnsi="Garamond" w:cs="Times New Roman"/>
          <w:sz w:val="24"/>
          <w:szCs w:val="24"/>
          <w:lang w:eastAsia="it-IT"/>
        </w:rPr>
        <w:br/>
        <w:t xml:space="preserve">Fedeli Maria, rappresentata e difesa dall'avv. Emanuele Mori, con domicilio eletto presso Maria Chiara </w:t>
      </w:r>
      <w:proofErr w:type="spellStart"/>
      <w:r w:rsidRPr="00FE0F1E">
        <w:rPr>
          <w:rFonts w:ascii="Garamond" w:eastAsia="Times New Roman" w:hAnsi="Garamond" w:cs="Times New Roman"/>
          <w:sz w:val="24"/>
          <w:szCs w:val="24"/>
          <w:lang w:eastAsia="it-IT"/>
        </w:rPr>
        <w:t>Morabito</w:t>
      </w:r>
      <w:proofErr w:type="spellEnd"/>
      <w:r w:rsidRPr="00FE0F1E">
        <w:rPr>
          <w:rFonts w:ascii="Garamond" w:eastAsia="Times New Roman" w:hAnsi="Garamond" w:cs="Times New Roman"/>
          <w:sz w:val="24"/>
          <w:szCs w:val="24"/>
          <w:lang w:eastAsia="it-IT"/>
        </w:rPr>
        <w:t xml:space="preserve"> in Roma, via </w:t>
      </w:r>
      <w:proofErr w:type="spellStart"/>
      <w:r w:rsidRPr="00FE0F1E">
        <w:rPr>
          <w:rFonts w:ascii="Garamond" w:eastAsia="Times New Roman" w:hAnsi="Garamond" w:cs="Times New Roman"/>
          <w:sz w:val="24"/>
          <w:szCs w:val="24"/>
          <w:lang w:eastAsia="it-IT"/>
        </w:rPr>
        <w:t>Benaco</w:t>
      </w:r>
      <w:proofErr w:type="spellEnd"/>
      <w:r w:rsidRPr="00FE0F1E">
        <w:rPr>
          <w:rFonts w:ascii="Garamond" w:eastAsia="Times New Roman" w:hAnsi="Garamond" w:cs="Times New Roman"/>
          <w:sz w:val="24"/>
          <w:szCs w:val="24"/>
          <w:lang w:eastAsia="it-IT"/>
        </w:rPr>
        <w:t xml:space="preserve">, n. 5; </w:t>
      </w:r>
    </w:p>
    <w:p w:rsidR="00FE0F1E" w:rsidRPr="00FE0F1E" w:rsidRDefault="00FE0F1E" w:rsidP="00FE0F1E">
      <w:pPr>
        <w:spacing w:after="0" w:line="520" w:lineRule="atLeast"/>
        <w:jc w:val="center"/>
        <w:rPr>
          <w:rFonts w:ascii="Garamond" w:eastAsia="Times New Roman" w:hAnsi="Garamond" w:cs="Times New Roman"/>
          <w:b/>
          <w:bCs/>
          <w:i/>
          <w:iCs/>
          <w:sz w:val="24"/>
          <w:szCs w:val="24"/>
          <w:lang w:eastAsia="it-IT"/>
        </w:rPr>
      </w:pPr>
      <w:r w:rsidRPr="00FE0F1E">
        <w:rPr>
          <w:rFonts w:ascii="Garamond" w:eastAsia="Times New Roman" w:hAnsi="Garamond" w:cs="Times New Roman"/>
          <w:b/>
          <w:bCs/>
          <w:i/>
          <w:iCs/>
          <w:sz w:val="24"/>
          <w:szCs w:val="24"/>
          <w:lang w:eastAsia="it-IT"/>
        </w:rPr>
        <w:t>contro</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 xml:space="preserve">Comune di </w:t>
      </w:r>
      <w:proofErr w:type="spellStart"/>
      <w:r w:rsidRPr="00FE0F1E">
        <w:rPr>
          <w:rFonts w:ascii="Garamond" w:eastAsia="Times New Roman" w:hAnsi="Garamond" w:cs="Times New Roman"/>
          <w:sz w:val="24"/>
          <w:szCs w:val="24"/>
          <w:lang w:eastAsia="it-IT"/>
        </w:rPr>
        <w:t>Montegranaro</w:t>
      </w:r>
      <w:proofErr w:type="spellEnd"/>
      <w:r w:rsidRPr="00FE0F1E">
        <w:rPr>
          <w:rFonts w:ascii="Garamond" w:eastAsia="Times New Roman" w:hAnsi="Garamond" w:cs="Times New Roman"/>
          <w:sz w:val="24"/>
          <w:szCs w:val="24"/>
          <w:lang w:eastAsia="it-IT"/>
        </w:rPr>
        <w:t xml:space="preserve">, rappresentato e difeso dall'avv. Carlo </w:t>
      </w:r>
      <w:proofErr w:type="spellStart"/>
      <w:r w:rsidRPr="00FE0F1E">
        <w:rPr>
          <w:rFonts w:ascii="Garamond" w:eastAsia="Times New Roman" w:hAnsi="Garamond" w:cs="Times New Roman"/>
          <w:sz w:val="24"/>
          <w:szCs w:val="24"/>
          <w:lang w:eastAsia="it-IT"/>
        </w:rPr>
        <w:t>Sgrignuoli</w:t>
      </w:r>
      <w:proofErr w:type="spellEnd"/>
      <w:r w:rsidRPr="00FE0F1E">
        <w:rPr>
          <w:rFonts w:ascii="Garamond" w:eastAsia="Times New Roman" w:hAnsi="Garamond" w:cs="Times New Roman"/>
          <w:sz w:val="24"/>
          <w:szCs w:val="24"/>
          <w:lang w:eastAsia="it-IT"/>
        </w:rPr>
        <w:t xml:space="preserve">, con domicilio eletto presso Giovanni </w:t>
      </w:r>
      <w:proofErr w:type="spellStart"/>
      <w:r w:rsidRPr="00FE0F1E">
        <w:rPr>
          <w:rFonts w:ascii="Garamond" w:eastAsia="Times New Roman" w:hAnsi="Garamond" w:cs="Times New Roman"/>
          <w:sz w:val="24"/>
          <w:szCs w:val="24"/>
          <w:lang w:eastAsia="it-IT"/>
        </w:rPr>
        <w:t>Bonaccio</w:t>
      </w:r>
      <w:proofErr w:type="spellEnd"/>
      <w:r w:rsidRPr="00FE0F1E">
        <w:rPr>
          <w:rFonts w:ascii="Garamond" w:eastAsia="Times New Roman" w:hAnsi="Garamond" w:cs="Times New Roman"/>
          <w:sz w:val="24"/>
          <w:szCs w:val="24"/>
          <w:lang w:eastAsia="it-IT"/>
        </w:rPr>
        <w:t xml:space="preserve"> in Roma, Piazzale </w:t>
      </w:r>
      <w:proofErr w:type="spellStart"/>
      <w:r w:rsidRPr="00FE0F1E">
        <w:rPr>
          <w:rFonts w:ascii="Garamond" w:eastAsia="Times New Roman" w:hAnsi="Garamond" w:cs="Times New Roman"/>
          <w:sz w:val="24"/>
          <w:szCs w:val="24"/>
          <w:lang w:eastAsia="it-IT"/>
        </w:rPr>
        <w:t>Clodio</w:t>
      </w:r>
      <w:proofErr w:type="spellEnd"/>
      <w:r w:rsidRPr="00FE0F1E">
        <w:rPr>
          <w:rFonts w:ascii="Garamond" w:eastAsia="Times New Roman" w:hAnsi="Garamond" w:cs="Times New Roman"/>
          <w:sz w:val="24"/>
          <w:szCs w:val="24"/>
          <w:lang w:eastAsia="it-IT"/>
        </w:rPr>
        <w:t xml:space="preserve">, n. 56, IV Piano, Int.8; Farmacia Comunale </w:t>
      </w:r>
      <w:proofErr w:type="spellStart"/>
      <w:r w:rsidRPr="00FE0F1E">
        <w:rPr>
          <w:rFonts w:ascii="Garamond" w:eastAsia="Times New Roman" w:hAnsi="Garamond" w:cs="Times New Roman"/>
          <w:sz w:val="24"/>
          <w:szCs w:val="24"/>
          <w:lang w:eastAsia="it-IT"/>
        </w:rPr>
        <w:t>Citta'</w:t>
      </w:r>
      <w:proofErr w:type="spellEnd"/>
      <w:r w:rsidRPr="00FE0F1E">
        <w:rPr>
          <w:rFonts w:ascii="Garamond" w:eastAsia="Times New Roman" w:hAnsi="Garamond" w:cs="Times New Roman"/>
          <w:sz w:val="24"/>
          <w:szCs w:val="24"/>
          <w:lang w:eastAsia="it-IT"/>
        </w:rPr>
        <w:t xml:space="preserve"> di </w:t>
      </w:r>
      <w:proofErr w:type="spellStart"/>
      <w:r w:rsidRPr="00FE0F1E">
        <w:rPr>
          <w:rFonts w:ascii="Garamond" w:eastAsia="Times New Roman" w:hAnsi="Garamond" w:cs="Times New Roman"/>
          <w:sz w:val="24"/>
          <w:szCs w:val="24"/>
          <w:lang w:eastAsia="it-IT"/>
        </w:rPr>
        <w:t>Montegranaro</w:t>
      </w:r>
      <w:proofErr w:type="spellEnd"/>
      <w:r w:rsidRPr="00FE0F1E">
        <w:rPr>
          <w:rFonts w:ascii="Garamond" w:eastAsia="Times New Roman" w:hAnsi="Garamond" w:cs="Times New Roman"/>
          <w:sz w:val="24"/>
          <w:szCs w:val="24"/>
          <w:lang w:eastAsia="it-IT"/>
        </w:rPr>
        <w:t xml:space="preserve"> S.p.A., "</w:t>
      </w:r>
      <w:proofErr w:type="spellStart"/>
      <w:r w:rsidRPr="00FE0F1E">
        <w:rPr>
          <w:rFonts w:ascii="Garamond" w:eastAsia="Times New Roman" w:hAnsi="Garamond" w:cs="Times New Roman"/>
          <w:sz w:val="24"/>
          <w:szCs w:val="24"/>
          <w:lang w:eastAsia="it-IT"/>
        </w:rPr>
        <w:t>W.P.I.</w:t>
      </w:r>
      <w:proofErr w:type="spellEnd"/>
      <w:r w:rsidRPr="00FE0F1E">
        <w:rPr>
          <w:rFonts w:ascii="Garamond" w:eastAsia="Times New Roman" w:hAnsi="Garamond" w:cs="Times New Roman"/>
          <w:sz w:val="24"/>
          <w:szCs w:val="24"/>
          <w:lang w:eastAsia="it-IT"/>
        </w:rPr>
        <w:t xml:space="preserve"> - Woman </w:t>
      </w:r>
      <w:proofErr w:type="spellStart"/>
      <w:r w:rsidRPr="00FE0F1E">
        <w:rPr>
          <w:rFonts w:ascii="Garamond" w:eastAsia="Times New Roman" w:hAnsi="Garamond" w:cs="Times New Roman"/>
          <w:sz w:val="24"/>
          <w:szCs w:val="24"/>
          <w:lang w:eastAsia="it-IT"/>
        </w:rPr>
        <w:t>Pharma</w:t>
      </w:r>
      <w:proofErr w:type="spellEnd"/>
      <w:r w:rsidRPr="00FE0F1E">
        <w:rPr>
          <w:rFonts w:ascii="Garamond" w:eastAsia="Times New Roman" w:hAnsi="Garamond" w:cs="Times New Roman"/>
          <w:sz w:val="24"/>
          <w:szCs w:val="24"/>
          <w:lang w:eastAsia="it-IT"/>
        </w:rPr>
        <w:t xml:space="preserve"> </w:t>
      </w:r>
      <w:proofErr w:type="spellStart"/>
      <w:r w:rsidRPr="00FE0F1E">
        <w:rPr>
          <w:rFonts w:ascii="Garamond" w:eastAsia="Times New Roman" w:hAnsi="Garamond" w:cs="Times New Roman"/>
          <w:sz w:val="24"/>
          <w:szCs w:val="24"/>
          <w:lang w:eastAsia="it-IT"/>
        </w:rPr>
        <w:t>Investment</w:t>
      </w:r>
      <w:proofErr w:type="spellEnd"/>
      <w:r w:rsidRPr="00FE0F1E">
        <w:rPr>
          <w:rFonts w:ascii="Garamond" w:eastAsia="Times New Roman" w:hAnsi="Garamond" w:cs="Times New Roman"/>
          <w:sz w:val="24"/>
          <w:szCs w:val="24"/>
          <w:lang w:eastAsia="it-IT"/>
        </w:rPr>
        <w:t xml:space="preserve">" S.r.l., rappresentati e difesi dall'avv. Alberto Lucchetti, con domicilio eletto presso Angelo </w:t>
      </w:r>
      <w:proofErr w:type="spellStart"/>
      <w:r w:rsidRPr="00FE0F1E">
        <w:rPr>
          <w:rFonts w:ascii="Garamond" w:eastAsia="Times New Roman" w:hAnsi="Garamond" w:cs="Times New Roman"/>
          <w:sz w:val="24"/>
          <w:szCs w:val="24"/>
          <w:lang w:eastAsia="it-IT"/>
        </w:rPr>
        <w:t>Clarizia</w:t>
      </w:r>
      <w:proofErr w:type="spellEnd"/>
      <w:r w:rsidRPr="00FE0F1E">
        <w:rPr>
          <w:rFonts w:ascii="Garamond" w:eastAsia="Times New Roman" w:hAnsi="Garamond" w:cs="Times New Roman"/>
          <w:sz w:val="24"/>
          <w:szCs w:val="24"/>
          <w:lang w:eastAsia="it-IT"/>
        </w:rPr>
        <w:t xml:space="preserve"> in Roma, via Principessa Clotilde, n. 2; Responsabile Settore Affari Istituzionali e Generali; </w:t>
      </w:r>
    </w:p>
    <w:p w:rsidR="00FE0F1E" w:rsidRPr="00FE0F1E" w:rsidRDefault="00FE0F1E" w:rsidP="00FE0F1E">
      <w:pPr>
        <w:spacing w:after="0" w:line="520" w:lineRule="atLeast"/>
        <w:jc w:val="center"/>
        <w:rPr>
          <w:rFonts w:ascii="Garamond" w:eastAsia="Times New Roman" w:hAnsi="Garamond" w:cs="Times New Roman"/>
          <w:b/>
          <w:bCs/>
          <w:i/>
          <w:iCs/>
          <w:sz w:val="24"/>
          <w:szCs w:val="24"/>
          <w:lang w:eastAsia="it-IT"/>
        </w:rPr>
      </w:pPr>
      <w:r w:rsidRPr="00FE0F1E">
        <w:rPr>
          <w:rFonts w:ascii="Garamond" w:eastAsia="Times New Roman" w:hAnsi="Garamond" w:cs="Times New Roman"/>
          <w:b/>
          <w:bCs/>
          <w:i/>
          <w:iCs/>
          <w:sz w:val="24"/>
          <w:szCs w:val="24"/>
          <w:lang w:eastAsia="it-IT"/>
        </w:rPr>
        <w:t>nei confronti di</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proofErr w:type="spellStart"/>
      <w:r w:rsidRPr="00FE0F1E">
        <w:rPr>
          <w:rFonts w:ascii="Garamond" w:eastAsia="Times New Roman" w:hAnsi="Garamond" w:cs="Times New Roman"/>
          <w:sz w:val="24"/>
          <w:szCs w:val="24"/>
          <w:lang w:eastAsia="it-IT"/>
        </w:rPr>
        <w:t>Balacco</w:t>
      </w:r>
      <w:proofErr w:type="spellEnd"/>
      <w:r w:rsidRPr="00FE0F1E">
        <w:rPr>
          <w:rFonts w:ascii="Garamond" w:eastAsia="Times New Roman" w:hAnsi="Garamond" w:cs="Times New Roman"/>
          <w:sz w:val="24"/>
          <w:szCs w:val="24"/>
          <w:lang w:eastAsia="it-IT"/>
        </w:rPr>
        <w:t xml:space="preserve"> Stefano, </w:t>
      </w:r>
      <w:proofErr w:type="spellStart"/>
      <w:r w:rsidRPr="00FE0F1E">
        <w:rPr>
          <w:rFonts w:ascii="Garamond" w:eastAsia="Times New Roman" w:hAnsi="Garamond" w:cs="Times New Roman"/>
          <w:sz w:val="24"/>
          <w:szCs w:val="24"/>
          <w:lang w:eastAsia="it-IT"/>
        </w:rPr>
        <w:t>Marchionni</w:t>
      </w:r>
      <w:proofErr w:type="spellEnd"/>
      <w:r w:rsidRPr="00FE0F1E">
        <w:rPr>
          <w:rFonts w:ascii="Garamond" w:eastAsia="Times New Roman" w:hAnsi="Garamond" w:cs="Times New Roman"/>
          <w:sz w:val="24"/>
          <w:szCs w:val="24"/>
          <w:lang w:eastAsia="it-IT"/>
        </w:rPr>
        <w:t xml:space="preserve"> Mauro; </w:t>
      </w:r>
    </w:p>
    <w:p w:rsidR="00FE0F1E" w:rsidRPr="00FE0F1E" w:rsidRDefault="00FE0F1E" w:rsidP="00FE0F1E">
      <w:pPr>
        <w:spacing w:after="0" w:line="520" w:lineRule="atLeast"/>
        <w:jc w:val="center"/>
        <w:rPr>
          <w:rFonts w:ascii="Garamond" w:eastAsia="Times New Roman" w:hAnsi="Garamond" w:cs="Times New Roman"/>
          <w:b/>
          <w:bCs/>
          <w:i/>
          <w:iCs/>
          <w:sz w:val="24"/>
          <w:szCs w:val="24"/>
          <w:lang w:eastAsia="it-IT"/>
        </w:rPr>
      </w:pPr>
      <w:r w:rsidRPr="00FE0F1E">
        <w:rPr>
          <w:rFonts w:ascii="Garamond" w:eastAsia="Times New Roman" w:hAnsi="Garamond" w:cs="Times New Roman"/>
          <w:b/>
          <w:bCs/>
          <w:i/>
          <w:iCs/>
          <w:sz w:val="24"/>
          <w:szCs w:val="24"/>
          <w:lang w:eastAsia="it-IT"/>
        </w:rPr>
        <w:t>per la riforma</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 xml:space="preserve">della sentenza del T.A.R. MARCHE - ANCONA n. 00103/2004, resa tra le parti, concernente </w:t>
      </w:r>
      <w:proofErr w:type="spellStart"/>
      <w:r w:rsidRPr="00FE0F1E">
        <w:rPr>
          <w:rFonts w:ascii="Garamond" w:eastAsia="Times New Roman" w:hAnsi="Garamond" w:cs="Times New Roman"/>
          <w:sz w:val="24"/>
          <w:szCs w:val="24"/>
          <w:lang w:eastAsia="it-IT"/>
        </w:rPr>
        <w:t>approv</w:t>
      </w:r>
      <w:proofErr w:type="spellEnd"/>
      <w:r w:rsidRPr="00FE0F1E">
        <w:rPr>
          <w:rFonts w:ascii="Garamond" w:eastAsia="Times New Roman" w:hAnsi="Garamond" w:cs="Times New Roman"/>
          <w:sz w:val="24"/>
          <w:szCs w:val="24"/>
          <w:lang w:eastAsia="it-IT"/>
        </w:rPr>
        <w:t>. criteri generali per cessione azioni ai soci privati farmacia comunale;</w:t>
      </w:r>
    </w:p>
    <w:p w:rsidR="00FE0F1E" w:rsidRPr="00FE0F1E" w:rsidRDefault="00FE0F1E" w:rsidP="00FE0F1E">
      <w:pPr>
        <w:spacing w:after="0" w:line="240" w:lineRule="auto"/>
        <w:rPr>
          <w:rFonts w:ascii="Times New Roman" w:eastAsia="Times New Roman" w:hAnsi="Times New Roman" w:cs="Times New Roman"/>
          <w:sz w:val="24"/>
          <w:szCs w:val="24"/>
          <w:lang w:eastAsia="it-IT"/>
        </w:rPr>
      </w:pP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lastRenderedPageBreak/>
        <w:t>Visti il ricorso in appello e i relativi allegati;</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 xml:space="preserve">Visto l'atto di costituzione in giudizio di Farmacia Comunale </w:t>
      </w:r>
      <w:proofErr w:type="spellStart"/>
      <w:r w:rsidRPr="00FE0F1E">
        <w:rPr>
          <w:rFonts w:ascii="Garamond" w:eastAsia="Times New Roman" w:hAnsi="Garamond" w:cs="Times New Roman"/>
          <w:sz w:val="24"/>
          <w:szCs w:val="24"/>
          <w:lang w:eastAsia="it-IT"/>
        </w:rPr>
        <w:t>Citta'</w:t>
      </w:r>
      <w:proofErr w:type="spellEnd"/>
      <w:r w:rsidRPr="00FE0F1E">
        <w:rPr>
          <w:rFonts w:ascii="Garamond" w:eastAsia="Times New Roman" w:hAnsi="Garamond" w:cs="Times New Roman"/>
          <w:sz w:val="24"/>
          <w:szCs w:val="24"/>
          <w:lang w:eastAsia="it-IT"/>
        </w:rPr>
        <w:t xml:space="preserve"> di </w:t>
      </w:r>
      <w:proofErr w:type="spellStart"/>
      <w:r w:rsidRPr="00FE0F1E">
        <w:rPr>
          <w:rFonts w:ascii="Garamond" w:eastAsia="Times New Roman" w:hAnsi="Garamond" w:cs="Times New Roman"/>
          <w:sz w:val="24"/>
          <w:szCs w:val="24"/>
          <w:lang w:eastAsia="it-IT"/>
        </w:rPr>
        <w:t>Montegranaro</w:t>
      </w:r>
      <w:proofErr w:type="spellEnd"/>
      <w:r w:rsidRPr="00FE0F1E">
        <w:rPr>
          <w:rFonts w:ascii="Garamond" w:eastAsia="Times New Roman" w:hAnsi="Garamond" w:cs="Times New Roman"/>
          <w:sz w:val="24"/>
          <w:szCs w:val="24"/>
          <w:lang w:eastAsia="it-IT"/>
        </w:rPr>
        <w:t xml:space="preserve"> S.p.A.;</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Viste le memorie difensive;</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Visti tutti gli atti della causa;</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 xml:space="preserve">Relatore nell'udienza pubblica del giorno 8 febbraio 2013 il Cons. Alessandro </w:t>
      </w:r>
      <w:proofErr w:type="spellStart"/>
      <w:r w:rsidRPr="00FE0F1E">
        <w:rPr>
          <w:rFonts w:ascii="Garamond" w:eastAsia="Times New Roman" w:hAnsi="Garamond" w:cs="Times New Roman"/>
          <w:sz w:val="24"/>
          <w:szCs w:val="24"/>
          <w:lang w:eastAsia="it-IT"/>
        </w:rPr>
        <w:t>Palanza</w:t>
      </w:r>
      <w:proofErr w:type="spellEnd"/>
      <w:r w:rsidRPr="00FE0F1E">
        <w:rPr>
          <w:rFonts w:ascii="Garamond" w:eastAsia="Times New Roman" w:hAnsi="Garamond" w:cs="Times New Roman"/>
          <w:sz w:val="24"/>
          <w:szCs w:val="24"/>
          <w:lang w:eastAsia="it-IT"/>
        </w:rPr>
        <w:t xml:space="preserve"> e uditi per le parti gli avvocati Mori, </w:t>
      </w:r>
      <w:proofErr w:type="spellStart"/>
      <w:r w:rsidRPr="00FE0F1E">
        <w:rPr>
          <w:rFonts w:ascii="Garamond" w:eastAsia="Times New Roman" w:hAnsi="Garamond" w:cs="Times New Roman"/>
          <w:sz w:val="24"/>
          <w:szCs w:val="24"/>
          <w:lang w:eastAsia="it-IT"/>
        </w:rPr>
        <w:t>Bonaccio</w:t>
      </w:r>
      <w:proofErr w:type="spellEnd"/>
      <w:r w:rsidRPr="00FE0F1E">
        <w:rPr>
          <w:rFonts w:ascii="Garamond" w:eastAsia="Times New Roman" w:hAnsi="Garamond" w:cs="Times New Roman"/>
          <w:sz w:val="24"/>
          <w:szCs w:val="24"/>
          <w:lang w:eastAsia="it-IT"/>
        </w:rPr>
        <w:t xml:space="preserve"> su delega degli avvocati </w:t>
      </w:r>
      <w:proofErr w:type="spellStart"/>
      <w:r w:rsidRPr="00FE0F1E">
        <w:rPr>
          <w:rFonts w:ascii="Garamond" w:eastAsia="Times New Roman" w:hAnsi="Garamond" w:cs="Times New Roman"/>
          <w:sz w:val="24"/>
          <w:szCs w:val="24"/>
          <w:lang w:eastAsia="it-IT"/>
        </w:rPr>
        <w:t>Sgrignuoli</w:t>
      </w:r>
      <w:proofErr w:type="spellEnd"/>
      <w:r w:rsidRPr="00FE0F1E">
        <w:rPr>
          <w:rFonts w:ascii="Garamond" w:eastAsia="Times New Roman" w:hAnsi="Garamond" w:cs="Times New Roman"/>
          <w:sz w:val="24"/>
          <w:szCs w:val="24"/>
          <w:lang w:eastAsia="it-IT"/>
        </w:rPr>
        <w:t xml:space="preserve"> e Lucchetti Alessandro su delega dell’avvocato Lucchetti Alberto;</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Ritenuto e considerato in fatto e diritto quanto segue.</w:t>
      </w:r>
    </w:p>
    <w:p w:rsidR="00FE0F1E" w:rsidRPr="00FE0F1E" w:rsidRDefault="00FE0F1E" w:rsidP="00FE0F1E">
      <w:pPr>
        <w:spacing w:after="0" w:line="240" w:lineRule="auto"/>
        <w:rPr>
          <w:rFonts w:ascii="Times New Roman" w:eastAsia="Times New Roman" w:hAnsi="Times New Roman" w:cs="Times New Roman"/>
          <w:sz w:val="24"/>
          <w:szCs w:val="24"/>
          <w:lang w:eastAsia="it-IT"/>
        </w:rPr>
      </w:pPr>
    </w:p>
    <w:p w:rsidR="00FE0F1E" w:rsidRPr="00FE0F1E" w:rsidRDefault="00FE0F1E" w:rsidP="00FE0F1E">
      <w:pPr>
        <w:spacing w:after="0" w:line="540" w:lineRule="atLeast"/>
        <w:jc w:val="center"/>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FATTO e DIRITTO</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1. - .La dottoressa Maria FEDELI ha impugnato la sentenza del Tribunale amministrativo regionale delle Marche n. 103/2004 che ha respinto i suoi ricorsi riuniti:</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a) ricorso n. 1054 del 2002 per l’annullamento:</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 xml:space="preserve">- della deliberazione 30.9.2002 n.56 del Consiglio Comunale di </w:t>
      </w:r>
      <w:proofErr w:type="spellStart"/>
      <w:r w:rsidRPr="00FE0F1E">
        <w:rPr>
          <w:rFonts w:ascii="Garamond" w:eastAsia="Times New Roman" w:hAnsi="Garamond" w:cs="Times New Roman"/>
          <w:sz w:val="24"/>
          <w:szCs w:val="24"/>
          <w:lang w:eastAsia="it-IT"/>
        </w:rPr>
        <w:t>Montegranaro</w:t>
      </w:r>
      <w:proofErr w:type="spellEnd"/>
      <w:r w:rsidRPr="00FE0F1E">
        <w:rPr>
          <w:rFonts w:ascii="Garamond" w:eastAsia="Times New Roman" w:hAnsi="Garamond" w:cs="Times New Roman"/>
          <w:sz w:val="24"/>
          <w:szCs w:val="24"/>
          <w:lang w:eastAsia="it-IT"/>
        </w:rPr>
        <w:t>, relativa all’approvazione dei criteri generali per la cessione delle azioni ai soci privati della farmacia comunale;</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 di ogni altro atto presupposto, conseguente e connesso, comprese le deliberazioni della Giunta comunale 25.9.2002 n. 194 e del 3.10.2002 n.201, nonché del provvedimento n, 65 del 3.10.2002 del Responsabile del Settore affari istituzionali e generali e del relativo bando;</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b) ricorso n.159 del 2003 per l’annullamento:</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 della deliberazione 22.11.2002 n. 256 (</w:t>
      </w:r>
      <w:proofErr w:type="spellStart"/>
      <w:r w:rsidRPr="00FE0F1E">
        <w:rPr>
          <w:rFonts w:ascii="Garamond" w:eastAsia="Times New Roman" w:hAnsi="Garamond" w:cs="Times New Roman"/>
          <w:sz w:val="24"/>
          <w:szCs w:val="24"/>
          <w:lang w:eastAsia="it-IT"/>
        </w:rPr>
        <w:t>recte</w:t>
      </w:r>
      <w:proofErr w:type="spellEnd"/>
      <w:r w:rsidRPr="00FE0F1E">
        <w:rPr>
          <w:rFonts w:ascii="Garamond" w:eastAsia="Times New Roman" w:hAnsi="Garamond" w:cs="Times New Roman"/>
          <w:sz w:val="24"/>
          <w:szCs w:val="24"/>
          <w:lang w:eastAsia="it-IT"/>
        </w:rPr>
        <w:t xml:space="preserve"> n. 265) della Giunta Comunale di </w:t>
      </w:r>
      <w:proofErr w:type="spellStart"/>
      <w:r w:rsidRPr="00FE0F1E">
        <w:rPr>
          <w:rFonts w:ascii="Garamond" w:eastAsia="Times New Roman" w:hAnsi="Garamond" w:cs="Times New Roman"/>
          <w:sz w:val="24"/>
          <w:szCs w:val="24"/>
          <w:lang w:eastAsia="it-IT"/>
        </w:rPr>
        <w:t>Montegranaro</w:t>
      </w:r>
      <w:proofErr w:type="spellEnd"/>
      <w:r w:rsidRPr="00FE0F1E">
        <w:rPr>
          <w:rFonts w:ascii="Garamond" w:eastAsia="Times New Roman" w:hAnsi="Garamond" w:cs="Times New Roman"/>
          <w:sz w:val="24"/>
          <w:szCs w:val="24"/>
          <w:lang w:eastAsia="it-IT"/>
        </w:rPr>
        <w:t xml:space="preserve"> relativa all’aggiudicazione della gara per la vendita del 76% del capitale sociale della </w:t>
      </w:r>
      <w:proofErr w:type="spellStart"/>
      <w:r w:rsidRPr="00FE0F1E">
        <w:rPr>
          <w:rFonts w:ascii="Garamond" w:eastAsia="Times New Roman" w:hAnsi="Garamond" w:cs="Times New Roman"/>
          <w:sz w:val="24"/>
          <w:szCs w:val="24"/>
          <w:lang w:eastAsia="it-IT"/>
        </w:rPr>
        <w:t>F.C.C.M.</w:t>
      </w:r>
      <w:proofErr w:type="spellEnd"/>
      <w:r w:rsidRPr="00FE0F1E">
        <w:rPr>
          <w:rFonts w:ascii="Garamond" w:eastAsia="Times New Roman" w:hAnsi="Garamond" w:cs="Times New Roman"/>
          <w:sz w:val="24"/>
          <w:szCs w:val="24"/>
          <w:lang w:eastAsia="it-IT"/>
        </w:rPr>
        <w:t xml:space="preserve"> S.p.A.;</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 xml:space="preserve">- di ogni altro atto presupposto, conseguente e connesso, compreso il verbale n. 1 della Commissione degli </w:t>
      </w:r>
      <w:proofErr w:type="spellStart"/>
      <w:r w:rsidRPr="00FE0F1E">
        <w:rPr>
          <w:rFonts w:ascii="Garamond" w:eastAsia="Times New Roman" w:hAnsi="Garamond" w:cs="Times New Roman"/>
          <w:sz w:val="24"/>
          <w:szCs w:val="24"/>
          <w:lang w:eastAsia="it-IT"/>
        </w:rPr>
        <w:t>advisors</w:t>
      </w:r>
      <w:proofErr w:type="spellEnd"/>
      <w:r w:rsidRPr="00FE0F1E">
        <w:rPr>
          <w:rFonts w:ascii="Garamond" w:eastAsia="Times New Roman" w:hAnsi="Garamond" w:cs="Times New Roman"/>
          <w:sz w:val="24"/>
          <w:szCs w:val="24"/>
          <w:lang w:eastAsia="it-IT"/>
        </w:rPr>
        <w:t xml:space="preserve"> ed i conseguenti contratti.</w:t>
      </w:r>
    </w:p>
    <w:p w:rsidR="00FE0F1E" w:rsidRPr="00FE0F1E" w:rsidRDefault="00FE0F1E" w:rsidP="00FE0F1E">
      <w:pPr>
        <w:spacing w:after="0" w:line="240" w:lineRule="auto"/>
        <w:rPr>
          <w:rFonts w:ascii="Times New Roman" w:eastAsia="Times New Roman" w:hAnsi="Times New Roman" w:cs="Times New Roman"/>
          <w:sz w:val="24"/>
          <w:szCs w:val="24"/>
          <w:lang w:eastAsia="it-IT"/>
        </w:rPr>
      </w:pP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 xml:space="preserve">2. - La sentenza del TAR respinge, in parte perché infondati ed in parte perché inammissibili, tutti i motivi dei due ricorsi presentati in primo grado. Sono considerati ammissibili ma infondati i motivi di gravame limitatamente all’impugnazione della deliberazione della Giunta comunale 25.9.2002 n. 194, di nomina della Commissione di </w:t>
      </w:r>
      <w:proofErr w:type="spellStart"/>
      <w:r w:rsidRPr="00FE0F1E">
        <w:rPr>
          <w:rFonts w:ascii="Garamond" w:eastAsia="Times New Roman" w:hAnsi="Garamond" w:cs="Times New Roman"/>
          <w:sz w:val="24"/>
          <w:szCs w:val="24"/>
          <w:lang w:eastAsia="it-IT"/>
        </w:rPr>
        <w:t>advisors</w:t>
      </w:r>
      <w:proofErr w:type="spellEnd"/>
      <w:r w:rsidRPr="00FE0F1E">
        <w:rPr>
          <w:rFonts w:ascii="Garamond" w:eastAsia="Times New Roman" w:hAnsi="Garamond" w:cs="Times New Roman"/>
          <w:sz w:val="24"/>
          <w:szCs w:val="24"/>
          <w:lang w:eastAsia="it-IT"/>
        </w:rPr>
        <w:t xml:space="preserve">, della deliberazione consiliare 30.9.2002 n. 56, di determinazione </w:t>
      </w:r>
      <w:r w:rsidRPr="00FE0F1E">
        <w:rPr>
          <w:rFonts w:ascii="Garamond" w:eastAsia="Times New Roman" w:hAnsi="Garamond" w:cs="Times New Roman"/>
          <w:sz w:val="24"/>
          <w:szCs w:val="24"/>
          <w:lang w:eastAsia="it-IT"/>
        </w:rPr>
        <w:lastRenderedPageBreak/>
        <w:t xml:space="preserve">delle modalità di vendita delle azioni, della deliberazione 3.10.2002 n. 201, di determinazione del loro prezzo di vendita, e del bando di gara, in quanto il D. </w:t>
      </w:r>
      <w:proofErr w:type="spellStart"/>
      <w:r w:rsidRPr="00FE0F1E">
        <w:rPr>
          <w:rFonts w:ascii="Garamond" w:eastAsia="Times New Roman" w:hAnsi="Garamond" w:cs="Times New Roman"/>
          <w:sz w:val="24"/>
          <w:szCs w:val="24"/>
          <w:lang w:eastAsia="it-IT"/>
        </w:rPr>
        <w:t>Lgs</w:t>
      </w:r>
      <w:proofErr w:type="spellEnd"/>
      <w:r w:rsidRPr="00FE0F1E">
        <w:rPr>
          <w:rFonts w:ascii="Garamond" w:eastAsia="Times New Roman" w:hAnsi="Garamond" w:cs="Times New Roman"/>
          <w:sz w:val="24"/>
          <w:szCs w:val="24"/>
          <w:lang w:eastAsia="it-IT"/>
        </w:rPr>
        <w:t xml:space="preserve">. n. 267/2000, ed in particolare gli artt.113 e segg., prevedono un nuovo e generale sistema di gestione dei servizi pubblici locali con cui è stato, di fatto, recepito ed istituzionalizzato il regime di deroga alla riserva a favore dei farmacisti dipendenti che era stato previsto dall’art.12, comma 1, della legge n. 489/1992. Pertanto l’abrogazione di questa ultima norma, disposta dallo stesso decreto legislativo n. 267/2000, non comporta certo il venir meno della possibilità di deroga alla disciplina dell’art. 9 della legge n. 475 del 1968, che prevede che il Comune possa gestire una farmacia tramite una società di capitali soltanto se questa sia costituita tra il Comune e i farmacisti che, al momento della costituzione, prestavano servizio nella farmacia comunale. Dalla nuova e generale disciplina contenuta nel decreto legislativo n. 267/2000 non sono state espressamente escluse le aziende farmaceutiche comunali: di conseguenza, le farmacie comunali possono essere gestite anche da società per azioni a proprietà pubblica maggioritaria o minoritaria da parte del Comune e senza più alcun obbligo di predeterminazione legale dei soci tra i farmacisti dipendenti del Comune. Anche dopo l’abrogazione del comma 5 dell’art. 115 del </w:t>
      </w:r>
      <w:proofErr w:type="spellStart"/>
      <w:r w:rsidRPr="00FE0F1E">
        <w:rPr>
          <w:rFonts w:ascii="Garamond" w:eastAsia="Times New Roman" w:hAnsi="Garamond" w:cs="Times New Roman"/>
          <w:sz w:val="24"/>
          <w:szCs w:val="24"/>
          <w:lang w:eastAsia="it-IT"/>
        </w:rPr>
        <w:t>D.Lgs.</w:t>
      </w:r>
      <w:proofErr w:type="spellEnd"/>
      <w:r w:rsidRPr="00FE0F1E">
        <w:rPr>
          <w:rFonts w:ascii="Garamond" w:eastAsia="Times New Roman" w:hAnsi="Garamond" w:cs="Times New Roman"/>
          <w:sz w:val="24"/>
          <w:szCs w:val="24"/>
          <w:lang w:eastAsia="it-IT"/>
        </w:rPr>
        <w:t xml:space="preserve"> n. 267/2000, che consentiva il ricorso alle procedure previste dall’art. 116 del medesimo decreto tra cui il D.P.R. 16 settembre 1996 n. 533, resta fermo che è consentita l’alienabilità delle azioni della società costituita a seguito della trasformazione dell’azienda speciale, una volta intervenuta la stima prevista dall’art. 2343 c.c., a cui fa riferimento il comma 3 del menzionato art. 115 del </w:t>
      </w:r>
      <w:proofErr w:type="spellStart"/>
      <w:r w:rsidRPr="00FE0F1E">
        <w:rPr>
          <w:rFonts w:ascii="Garamond" w:eastAsia="Times New Roman" w:hAnsi="Garamond" w:cs="Times New Roman"/>
          <w:sz w:val="24"/>
          <w:szCs w:val="24"/>
          <w:lang w:eastAsia="it-IT"/>
        </w:rPr>
        <w:t>D.Lgs.</w:t>
      </w:r>
      <w:proofErr w:type="spellEnd"/>
      <w:r w:rsidRPr="00FE0F1E">
        <w:rPr>
          <w:rFonts w:ascii="Garamond" w:eastAsia="Times New Roman" w:hAnsi="Garamond" w:cs="Times New Roman"/>
          <w:sz w:val="24"/>
          <w:szCs w:val="24"/>
          <w:lang w:eastAsia="it-IT"/>
        </w:rPr>
        <w:t xml:space="preserve"> n. 267/2000, la quale non può che svolgersi sulla base del già citato D.P.R. n.533/1996, in mancanza di altro regolamento. E’ giudicata altresì infondata la dedotta incostituzionalità dell’art. 12 della legge n. 362/1991 e dell’art. 115 del </w:t>
      </w:r>
      <w:proofErr w:type="spellStart"/>
      <w:r w:rsidRPr="00FE0F1E">
        <w:rPr>
          <w:rFonts w:ascii="Garamond" w:eastAsia="Times New Roman" w:hAnsi="Garamond" w:cs="Times New Roman"/>
          <w:sz w:val="24"/>
          <w:szCs w:val="24"/>
          <w:lang w:eastAsia="it-IT"/>
        </w:rPr>
        <w:t>D.Lgs.</w:t>
      </w:r>
      <w:proofErr w:type="spellEnd"/>
      <w:r w:rsidRPr="00FE0F1E">
        <w:rPr>
          <w:rFonts w:ascii="Garamond" w:eastAsia="Times New Roman" w:hAnsi="Garamond" w:cs="Times New Roman"/>
          <w:sz w:val="24"/>
          <w:szCs w:val="24"/>
          <w:lang w:eastAsia="it-IT"/>
        </w:rPr>
        <w:t xml:space="preserve"> n. 267/2000 in quanto non contemplano l’obbligo di inserire tra i soci esclusivamente i dipendenti dell’azienda stessa. Sono invece considerati inammissibili i motivi del ricorso in primo grado relativi al bando di gara e al suo svolgimento in quanto non censurano la possibilità stessa di esperire la procedura di gara per la vendita delle azioni, ma le modalità di svolgimento, non avendo la ricorrente chiesto di partecipare alla gara e non essendo pertanto ravvisabile una legittimazione attiva derivante da interesse legittimo, ma una situazione di interesse c.d. di fatto, in quanto la sua posizione non si differenzia da quella che ogni soggetto vanta al corretto esercizio dell’attività amministrativa. Gli stessi motivi sono </w:t>
      </w:r>
      <w:r w:rsidRPr="00FE0F1E">
        <w:rPr>
          <w:rFonts w:ascii="Garamond" w:eastAsia="Times New Roman" w:hAnsi="Garamond" w:cs="Times New Roman"/>
          <w:sz w:val="24"/>
          <w:szCs w:val="24"/>
          <w:lang w:eastAsia="it-IT"/>
        </w:rPr>
        <w:lastRenderedPageBreak/>
        <w:t>comunque considerati infondati nel merito ed in parte inammissibili per altri profili. In particolare è rilevante che la partecipazione alla gara da parte della ricorrente in primo grado era comunque possibile dal momento che il punto 1.1. del bando, relativo ai requisiti di partecipazione, non ha affatto limitato la partecipazione alla gara solo alle società di capitali, ma nella lett. a) ha consentito anche a “farmacista/i iscritto/i all’Albo e/o abilitato/i all’esercizio della professione che abbia(no) costituito o si impegni(no) a costituire in caso di aggiudicazione, una società di capitali in possesso dei requisiti economico-patrimoniali adeguati al valore dell’operazione”.</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Con le stesse motivazioni, sono giudicati inammissibili anche tutti i motivi del secondo ricorso in primo grado relativi alle modalità di svolgimento della gara. La dedotta illegittimità dell’ammissione del raggruppamento temporaneo aggiudicatario risulta comunque infondata anche nel merito. La sentenza dichiara infine di non poter pronunciarsi sull’atto con cui è stato impugnato, mediante motivi aggiunti al secondo ricorso, il licenziamento notificato alla ricorrente il 31 3 2003, attesa la sua inesistenza processuale per mancato deposito in Segreteria.</w:t>
      </w:r>
    </w:p>
    <w:p w:rsidR="00FE0F1E" w:rsidRPr="00FE0F1E" w:rsidRDefault="00FE0F1E" w:rsidP="00FE0F1E">
      <w:pPr>
        <w:spacing w:after="0" w:line="240" w:lineRule="auto"/>
        <w:rPr>
          <w:rFonts w:ascii="Times New Roman" w:eastAsia="Times New Roman" w:hAnsi="Times New Roman" w:cs="Times New Roman"/>
          <w:sz w:val="24"/>
          <w:szCs w:val="24"/>
          <w:lang w:eastAsia="it-IT"/>
        </w:rPr>
      </w:pP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 xml:space="preserve">3. - L’appellante contesta l’interpretazione adottata dal TAR secondo la quale il </w:t>
      </w:r>
      <w:proofErr w:type="spellStart"/>
      <w:r w:rsidRPr="00FE0F1E">
        <w:rPr>
          <w:rFonts w:ascii="Garamond" w:eastAsia="Times New Roman" w:hAnsi="Garamond" w:cs="Times New Roman"/>
          <w:sz w:val="24"/>
          <w:szCs w:val="24"/>
          <w:lang w:eastAsia="it-IT"/>
        </w:rPr>
        <w:t>D.Lgs</w:t>
      </w:r>
      <w:proofErr w:type="spellEnd"/>
      <w:r w:rsidRPr="00FE0F1E">
        <w:rPr>
          <w:rFonts w:ascii="Garamond" w:eastAsia="Times New Roman" w:hAnsi="Garamond" w:cs="Times New Roman"/>
          <w:sz w:val="24"/>
          <w:szCs w:val="24"/>
          <w:lang w:eastAsia="it-IT"/>
        </w:rPr>
        <w:t xml:space="preserve"> n. 267/2000 avrebbe definito un nuovo e generale sistema di gestione dei servizi pubblici con cui sarebbe stato recepito e istituzionalizzato il regime derogatorio già previsto dall’art. 12 della legge n. 498/1992, che sarebbe stato per questa ragione abrogato. Infatti il servizio di assistenza farmaceutica - e tanto meno l’esercizio di una singola farmacia - non costituisce ”servizio pubblico locale” (ex art. 113 e seguenti del TUEL). Pertanto tale disciplina non incide sulla normativa sanitaria che regola l’organizzazione del servizio farmaceutico e, in particolare, sull’art. 9 della legge n. 475 del 1968, che, attraverso la modifica apportata dall’art. 10 della legge n. 362/1991, ha introdotto la possibilità per i Comuni di affidare la gestione delle farmacie pubbliche ad apposite società di capitali “ ai sensi della legge n. 142/1990”, mantenendo ferma la riserva e la tutela a favore dei farmacisti dipendenti prevista dal medesimo articolo 9. E’ erronea e fuorviante, quindi, la tesi sostenuta dal TAR secondo la quale sarebbe consentito l’affidamento delle farmacie comunali a società miste ai sensi degli artt. 115 e 116 TUEL. Il servizio farmaceutico non rientra nell’ambito delle competenze del Comune, facendo capo invece alle </w:t>
      </w:r>
      <w:r w:rsidRPr="00FE0F1E">
        <w:rPr>
          <w:rFonts w:ascii="Garamond" w:eastAsia="Times New Roman" w:hAnsi="Garamond" w:cs="Times New Roman"/>
          <w:sz w:val="24"/>
          <w:szCs w:val="24"/>
          <w:lang w:eastAsia="it-IT"/>
        </w:rPr>
        <w:lastRenderedPageBreak/>
        <w:t xml:space="preserve">Aziende USL ai sensi dell’art. 28 della legge n. 833/1978. Il Comune non può quindi pretendere di privatizzare la gestione del servizio farmaceutico con i soli strumenti del TUEL senza il ricorso alle procedure specifiche previste dalla legge n. 475/1968. Nell’ambito dell’applicazione delle procedure di cui all’art. 115, la sentenza è errata anche in ordine al mancato riconoscimento degli effetti dell’abrogazione del comma 5 dell’art. 115 TUEL, che consentiva il ricorso alle procedure di cui all’art. 116 del TUEL e, in particolare, di quelle di cui al D.P.R. n. 533/1996, utilizzate nel caso di specie. Non si comprende come il TAR, a proposito dell’art. 9 della legge n. 475/1968, abbia reputato, pur in mancanza di uno specifico provvedimento abrogativo, che tale norma sia stata abolita o comunque resa inapplicabile dal mutamento del quadro normativo dei servizi pubblici locali, mentre, a proposito dell’art. 12 della legge n. 498/1992, non abbia considerato l’abrogazione operata dal </w:t>
      </w:r>
      <w:proofErr w:type="spellStart"/>
      <w:r w:rsidRPr="00FE0F1E">
        <w:rPr>
          <w:rFonts w:ascii="Garamond" w:eastAsia="Times New Roman" w:hAnsi="Garamond" w:cs="Times New Roman"/>
          <w:sz w:val="24"/>
          <w:szCs w:val="24"/>
          <w:lang w:eastAsia="it-IT"/>
        </w:rPr>
        <w:t>D.Lgs.</w:t>
      </w:r>
      <w:proofErr w:type="spellEnd"/>
      <w:r w:rsidRPr="00FE0F1E">
        <w:rPr>
          <w:rFonts w:ascii="Garamond" w:eastAsia="Times New Roman" w:hAnsi="Garamond" w:cs="Times New Roman"/>
          <w:sz w:val="24"/>
          <w:szCs w:val="24"/>
          <w:lang w:eastAsia="it-IT"/>
        </w:rPr>
        <w:t xml:space="preserve"> n. 276/2000 e, a proposito del comma 5 dell’art. 115 del TUEL, abbia reputato “irrilevante” la sua esplicita abrogazione. L’abrogazione del comma 5 dell’art.115 non impedisce l’alienazione delle azioni delle società di cui al comma 1, che è possibile attraverso le altre opzioni previste dallo stesso art. 115 (offerta pubblica di vendita o trattative dirette). Quanto al rigetto della censura relativa alla legittimità costituzionale dell’art.12 della legge 362/1991 e dell’art. 115 TUEL (ove la tutela in essa prevista a favore dei dipendenti della farmacia comunale non si estenda all’ipotesi del trasferimento della gestione mediante trasformazione dell’azienda speciale in società di capitali), l’argomentazione del TAR non coglie la sostanza della questione sollevata in quanto, per un aspetto, il TAR persevera nel non considerare gli effetti dell’abrogazione dall’art. 12 della legge n. 498/1992, per un altro aspetto, non risponde sul punto dove si è rimarcata l’incostituzionalità dell’assenza di alcun regime di tutela del personale dipendente nell’ipotesi di concessione della farmacia comunale per un periodo talmente lungo da corrispondere ad una vendita della farmacia. L’appellante contesta, infine, le argomentazioni con le quali la sentenza del TAR ha ritenuto inammissibili tutti gli altri motivi del ricorso concernenti le modalità di espletamento della gara, non avendo l’appellante partecipato alla gara medesima. Il TAR ha applicato pedissequamente un principio, sia pur consolidato, ma senza prestare attenzione alle peculiarità del caso di specie. Non è stato, infatti, considerato che la posizione giuridica soggettiva della ricorrente in primo grado, attuale appellante, è qualificata dall’art. 9 della legge n. 475/1968 che </w:t>
      </w:r>
      <w:r w:rsidRPr="00FE0F1E">
        <w:rPr>
          <w:rFonts w:ascii="Garamond" w:eastAsia="Times New Roman" w:hAnsi="Garamond" w:cs="Times New Roman"/>
          <w:sz w:val="24"/>
          <w:szCs w:val="24"/>
          <w:lang w:eastAsia="it-IT"/>
        </w:rPr>
        <w:lastRenderedPageBreak/>
        <w:t xml:space="preserve">prevedeva l’affidamento in gestione delle farmacie comunali a società di gestione costituite dal Comune e dai farmacisti dipendenti; norma derogabile dall’art.12 della legge n. 448/1992, ma mai abrogata. E’ evidente, pertanto, che se la gara in questione fosse annullata risorgerebbe la possibilità di applicare le procedure di cui all’art. 9 della legge n. 475/1968. E’ pertanto dimostrato l’interesse legittimo della ricorrente alla esclusione dalla gara dell’unico partecipante per le stesse motivazioni che potrebbe sollevare un eventuale partecipante secondo classificato. Infine, l’appellante contesta anche il giudizio di infondatezza che il TAR ha comunque espresso sulle censure rivolte allo svolgimento della gara. </w:t>
      </w:r>
    </w:p>
    <w:p w:rsidR="00FE0F1E" w:rsidRPr="00FE0F1E" w:rsidRDefault="00FE0F1E" w:rsidP="00FE0F1E">
      <w:pPr>
        <w:spacing w:after="0" w:line="240" w:lineRule="auto"/>
        <w:rPr>
          <w:rFonts w:ascii="Times New Roman" w:eastAsia="Times New Roman" w:hAnsi="Times New Roman" w:cs="Times New Roman"/>
          <w:sz w:val="24"/>
          <w:szCs w:val="24"/>
          <w:lang w:eastAsia="it-IT"/>
        </w:rPr>
      </w:pP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 xml:space="preserve">4. - La </w:t>
      </w:r>
      <w:proofErr w:type="spellStart"/>
      <w:r w:rsidRPr="00FE0F1E">
        <w:rPr>
          <w:rFonts w:ascii="Garamond" w:eastAsia="Times New Roman" w:hAnsi="Garamond" w:cs="Times New Roman"/>
          <w:sz w:val="24"/>
          <w:szCs w:val="24"/>
          <w:lang w:eastAsia="it-IT"/>
        </w:rPr>
        <w:t>controinteressata</w:t>
      </w:r>
      <w:proofErr w:type="spellEnd"/>
      <w:r w:rsidRPr="00FE0F1E">
        <w:rPr>
          <w:rFonts w:ascii="Garamond" w:eastAsia="Times New Roman" w:hAnsi="Garamond" w:cs="Times New Roman"/>
          <w:sz w:val="24"/>
          <w:szCs w:val="24"/>
          <w:lang w:eastAsia="it-IT"/>
        </w:rPr>
        <w:t xml:space="preserve"> </w:t>
      </w:r>
      <w:proofErr w:type="spellStart"/>
      <w:r w:rsidRPr="00FE0F1E">
        <w:rPr>
          <w:rFonts w:ascii="Garamond" w:eastAsia="Times New Roman" w:hAnsi="Garamond" w:cs="Times New Roman"/>
          <w:sz w:val="24"/>
          <w:szCs w:val="24"/>
          <w:lang w:eastAsia="it-IT"/>
        </w:rPr>
        <w:t>W.P.I.</w:t>
      </w:r>
      <w:proofErr w:type="spellEnd"/>
      <w:r w:rsidRPr="00FE0F1E">
        <w:rPr>
          <w:rFonts w:ascii="Garamond" w:eastAsia="Times New Roman" w:hAnsi="Garamond" w:cs="Times New Roman"/>
          <w:sz w:val="24"/>
          <w:szCs w:val="24"/>
          <w:lang w:eastAsia="it-IT"/>
        </w:rPr>
        <w:t xml:space="preserve"> s.r.l. si costituisce con propria memoria in data 23 gennaio 2013 sottolineando la sopravvenuta carenza di interesse al ricorso - alla luce della sentenza passata in giudicato della Sezione lavoro della Corte di Appello di Ancona che ha sancito l’incontrovertibile cessazione del rapporto di lavoro dell’appellante alle dipendenze della farmacia - e l’infondatezza dell’appello anche alla luce della più recente giurisprudenza del Consiglio di Stato, che ha sancito il superamento di tutta la previgente disciplina in tema di gestione dei servizi pubblici locali sulla base degli articoli 113 e segg. del testo unico delle leggi sull'ordinamento degli enti locali, di cui al decreto legislativo 18 agosto 2000, n. 267.</w:t>
      </w:r>
    </w:p>
    <w:p w:rsidR="00FE0F1E" w:rsidRPr="00FE0F1E" w:rsidRDefault="00FE0F1E" w:rsidP="00FE0F1E">
      <w:pPr>
        <w:spacing w:after="0" w:line="240" w:lineRule="auto"/>
        <w:rPr>
          <w:rFonts w:ascii="Times New Roman" w:eastAsia="Times New Roman" w:hAnsi="Times New Roman" w:cs="Times New Roman"/>
          <w:sz w:val="24"/>
          <w:szCs w:val="24"/>
          <w:lang w:eastAsia="it-IT"/>
        </w:rPr>
      </w:pP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5. - La causa è passata in decisione all’udienza pubblica dell’8 febbraio 2013.</w:t>
      </w:r>
    </w:p>
    <w:p w:rsidR="00FE0F1E" w:rsidRPr="00FE0F1E" w:rsidRDefault="00FE0F1E" w:rsidP="00FE0F1E">
      <w:pPr>
        <w:spacing w:after="0" w:line="240" w:lineRule="auto"/>
        <w:rPr>
          <w:rFonts w:ascii="Times New Roman" w:eastAsia="Times New Roman" w:hAnsi="Times New Roman" w:cs="Times New Roman"/>
          <w:sz w:val="24"/>
          <w:szCs w:val="24"/>
          <w:lang w:eastAsia="it-IT"/>
        </w:rPr>
      </w:pP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6. – L’appello è infondato.</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 xml:space="preserve">6.1. – La controversia deve essere decisa sulla base della normativa vigente pro tempore e legittimamente posta alla base degli atti adottati dal Comune, secondo l’interpretazione a suo tempo adottata dall’indirizzo consolidatosi nella giurisprudenza del Consiglio di Stato, che può essere confermato anche nel vigente quadro normativo. Tale indirizzo è espresso in particolare dalla sentenza del Consiglio di Stato, sezione V, 15 febbraio 2007, n. 637, dalla quale il Collegio non ritiene vi siano ragioni di discostarsi sostanzialmente, pur in presenza di alcuni aggiornamenti del quadro normativo considerato da detta sentenza, consistenti nel richiamo “in vita” da parte di norme successive dell’articolo 9 della legge n. 475 del 1968, a loro volta in seguito abrogate dal referendum o annullate </w:t>
      </w:r>
      <w:r w:rsidRPr="00FE0F1E">
        <w:rPr>
          <w:rFonts w:ascii="Garamond" w:eastAsia="Times New Roman" w:hAnsi="Garamond" w:cs="Times New Roman"/>
          <w:sz w:val="24"/>
          <w:szCs w:val="24"/>
          <w:lang w:eastAsia="it-IT"/>
        </w:rPr>
        <w:lastRenderedPageBreak/>
        <w:t xml:space="preserve">dalla successiva sentenza della Corte costituzionale, che tuttavia potrebbero essere richiamate a favore di una persistente vigenza del predetto articolo 9. </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6.2. - A questi limitati fini devono essere considerate le normative successive allo svolgimento della vicenda in esame. In particolare:</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 il comma 1 dell’art. 23 bis del decreto legge 112/2008, che aveva integrato e in parte modificato la normativa prevista dall’art.113 dal Testo unico degli enti locali, come successivamente modificato dal decreto legge n. 135/2009, nel testo emerso dalla conversione operata dalla legge 20 novembre 2009, n. 166, aveva escluso le farmacie comunali dalla applicazione della disciplina da esso prevista prevedendo la riconduzione della gestione delle farmacie municipalizzate alla disciplina di cui alla legge 2 aprile 1968 n.475 e cioè all’art. 9, che è la norma di questa legge che disciplina specificamente la gestione delle farmacie comunali;</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 dopo l’abrogazione in via referendaria dell’art. 23 bis sopra citato, veniva introdotto sulla stessa materia l’art. 4 del decreto legge n. 138/2011, che al comma 34 prevedeva la esclusione dalla nuova disciplina oltre che del servizio idrico integrato, anche “delle farmacie comunali, di cui alla legge 2 aprile 1968, n. 475.”</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 la sentenza n. 199/2012 della Corte costituzionale ha successivamente dichiarato l’illegittimità delle disposizioni del citato art. 4, in quanto dirette a ripristinare norme abrogate dalla volontà popolare col suddetto referendum, quindi in contrasto con il divieto desumibile dall’art. 75 Cost. .</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 xml:space="preserve">– alla luce della predetta sentenza della Corte Costituzionale restano in vigore per tutti i servizi pubblici locali i principi comunitari come interpretati dalla Corte di Giustizia europea (tutela della concorrenza, libertà di circolazione dei fattori produttivi, divieto di barriere di entrata nel mercato, trasparenza e non discriminazione) che appartengono a pieno titolo al diritto positivo interno, in ragione della natura di norme inderogabili di ordine pubblico economico. </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 xml:space="preserve">- restano in vigore altresì gli articoli 115 e 116 del TUEL, non toccati dalle normative successive oggetto prima del referendum e poi della sentenza della Corte costituzionale n.199, già citata, mentre, a norma della sentenza della stessa Corte n. 24/2011 che ha ammesso il referendum, il suo successo non </w:t>
      </w:r>
      <w:r w:rsidRPr="00FE0F1E">
        <w:rPr>
          <w:rFonts w:ascii="Garamond" w:eastAsia="Times New Roman" w:hAnsi="Garamond" w:cs="Times New Roman"/>
          <w:sz w:val="24"/>
          <w:szCs w:val="24"/>
          <w:lang w:eastAsia="it-IT"/>
        </w:rPr>
        <w:lastRenderedPageBreak/>
        <w:t>determina la reviviscenza delle norme dell’art. 113, abrogate in attuazione del 23 bis a sua volta abrogato dal referendum.</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 xml:space="preserve">6.3. – Dalla ricostruzione di cui al punto 6.2., risulta evidente che la successiva esclusione delle farmacie comunali dalla diversa disciplina di cui all’articolo 23 bis del D.L. 112/2008 e l’art. 4 del decreto legge n. 138/2011, - norme successivamente abrogate o annullate rispettivamente dal referendum e dalla sentenza della Corte costituzionale - non potrebbe essere invocata a sostegno della tesi di parte appellante circa la esistenza di una analoga esclusione implicita dalla applicazione dell’articolo 115 del TUEL in materia di servizi pubblici locali, in quanto la farmacia rientrerebbe nei servizi essenziali di tipo sanitario e non nei servizi pubblici locali aventi rilevanza economica. Al contrario la vicenda normativa successiva prova semmai il contrario: e cioè sia che la esclusione se c’è deve essere esplicita, sia il fatto che la gestione delle farmacie comunali deve essere considerata un servizio comunale avente rilevanza economica, altrimenti non ci sarebbe stato bisogno di una esplicita esclusione. </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6.4. – Ammesso che il richiamo da parte di norme successive e poi a loro volta abrogate o annullate valga a provare che l’articolo 9 della legge 2 aprile 1968 n. 475, come successivamente modificato, debba considerarsi ancora in vigore, essa dimostra anche tale norma, se vigente e tuttora applicabile, deve contemperarsi con la normativa di cui all’art.115 del TUEL dal momento che tale articolo è certamente vigente e contrariamente alle discipline specifiche successivamente emanate non prevede la esclusione delle farmacie comunali e anzi con l’ abrogazione dell’art. 12 della legge n. 498/1992 con tutta evidenza le include (v. punto 6.7).</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6.5. – Inoltre va anche detto, per quanto attiene al presente giudizio, che se l’art. 9 più volte citato, ove considerato tuttora vigente e anche applicabile secondo la normativa comunitaria, non fosse interpretato come norma che deve contemperarsi e integrarsi con le disposizioni dell’articolo 115 TUEL, (come una delle possibilità incluse nelle procedure di cui al comma 4) i due ricorsi in primo grado sarebbero interamente inammissibili in quanto la ricorrente non ha impugnato il primo provvedimento concernente la trasformazione della azienda speciale in società di capitali, trasformazione che era esplicitamente operata a norma dell’art. 115 del TUEL.</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lastRenderedPageBreak/>
        <w:t xml:space="preserve">6.6. - In aggiunta, può affermarsi che, essendo le norme dell’art.115 parte di un complesso di norme attuative di principi dell’Unione europea in materia di servizi pubblici locali aventi rilevanza economica, una interpretazione “esclusiva” della norma dell’art. 9 più volte citato - nel senso di riservare la partecipazione alla società di capitali solo ai farmacisti dipendenti - dovrebbe essere disapplicata per contrasto con il diritto europeo o in ogni caso sottoposta al giudizio della Corte di giustizia. </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 xml:space="preserve">6.7. – Insomma, sulla base di quanto affermato nei punti precedenti, l’abrogazione dell’articolo 12, comma 1, della legge 23 dicembre 1992 n. 498 - che prevedeva la possibilità di costituire società per azioni per l’esercizio di servizi pubblici anche in deroga alla disposizione dell’articolo 9, primo comma, lettera “d”, della legge n. 475 del 1968 – da parte dell’articolo 274, del TUEL, contenente abrogazione di disposizioni incompatibili, deve essere necessariamente interpretata nel senso che il regime di deroga di cui all’abrogato art. 12 viene integralmente sostituito dalla più ampia disciplina prevista dallo stesso TUEL agli art. 113 e seguenti. Pertanto l’abrogazione dell’art. 12 sopracitata ha un senso in conseguenza dell’entrata in vigore dei richiamati articoli del TUEL solo perché tali articoli assorbono in una nuova organica disciplina generale - prevalente su tutte le discipline speciali - anche la deroga puntualmente prevista dall’art.12 con riferimento alla disciplina delle farmacie comunali. </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 xml:space="preserve">6.8. - Con le precisazioni e integrazioni di cui ai punti precedenti può essere considerato come principio di diritto applicabile al caso di specie quanto stabilito dalla sentenza del Consiglio di Stato 15 febbraio 2007, n. 637, richiamata al punto 6.1. La sentenza n. 637/2007 afferma infatti che “il testo unico 18 agosto 2000, n. 267, ha regolato l’intera materia delle forme giuridiche di prestazione dei servizi pubblici locali, determinando l’abrogazione delle leggi anteriori che regolavano le forme di prestazione di singoli servizi, come appunto l’articolo 9, primo comma, della legge n. 475 del 1968, nel testo stabilito dall’art. 10 della legge 1 novembre 1991 n. 362 (articolo 15 delle disposizioni sulla legge in generale, premesse al codice civile)”. </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 xml:space="preserve">6.9. - Il principio di diritto di cui alla citata sentenza n. 637 resta sostanzialmente valido nel senso che normativa di cui all’art. 9 della legge n. 475/1968, nei limiti in cui è rimasta in vigore, può comunque applicarsi solo nei limiti in cui è compatibile con la disciplina generale prevista in materia dal TUEL e nelle forme previste da esso, contemperandosi con le altre procedure previste dal TUEL stesso e in </w:t>
      </w:r>
      <w:r w:rsidRPr="00FE0F1E">
        <w:rPr>
          <w:rFonts w:ascii="Garamond" w:eastAsia="Times New Roman" w:hAnsi="Garamond" w:cs="Times New Roman"/>
          <w:sz w:val="24"/>
          <w:szCs w:val="24"/>
          <w:lang w:eastAsia="it-IT"/>
        </w:rPr>
        <w:lastRenderedPageBreak/>
        <w:t>particolare con l’art. 115, per quanto riguarda il caso di specie, e comunque nel rispetto dei principi della disciplina comunitaria. Ne deriva il rigetto o la inammissibilità di tutti i motivi di appello che in un modo o nell’altro presuppongono nelle farmacie comunali la prevalenza o l’</w:t>
      </w:r>
      <w:proofErr w:type="spellStart"/>
      <w:r w:rsidRPr="00FE0F1E">
        <w:rPr>
          <w:rFonts w:ascii="Garamond" w:eastAsia="Times New Roman" w:hAnsi="Garamond" w:cs="Times New Roman"/>
          <w:sz w:val="24"/>
          <w:szCs w:val="24"/>
          <w:lang w:eastAsia="it-IT"/>
        </w:rPr>
        <w:t>alternatività</w:t>
      </w:r>
      <w:proofErr w:type="spellEnd"/>
      <w:r w:rsidRPr="00FE0F1E">
        <w:rPr>
          <w:rFonts w:ascii="Garamond" w:eastAsia="Times New Roman" w:hAnsi="Garamond" w:cs="Times New Roman"/>
          <w:sz w:val="24"/>
          <w:szCs w:val="24"/>
          <w:lang w:eastAsia="it-IT"/>
        </w:rPr>
        <w:t xml:space="preserve"> dell’art. 9 della legge 473 sull’art. 115 TUEL.</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 xml:space="preserve">6.10. – Va respinto perché infondato nel merito il motivo relativo agli effetti dell’abrogazione del comma 5 dell’art. 115 TUEL che, secondo l’appellante, impedirebbe il ricorso alle procedure di evidenza pubblica per l’alienazione delle azioni della società in cui è stata trasformata l’azienda speciale. L’abrogato comma 5 disponeva che la partecipazione nelle società in cui vengono trasformate le aziende speciali potessero essere alienate “anche ai fini e con le modalità di cui all’articolo 116”. Quest’ultimo articolo, al comma 2, stabiliva – e stabilisce tuttora - che “La costituzione di società miste con la partecipazione non maggioritaria degli enti locali è disciplinata da apposito regolamento adottato ai sensi dell’articolo 4, comma 1, del decreto-legge 31 gennaio 1995, n. 26, convertito con modificazioni, dalla legge 29 marzo 1995, n. 95 e successive modifiche e integrazioni”. Fino a nuovo eventuale regolamento, con questa formulazione dovevano intendersi richiamate le norme regolamentari contenute nel D.P.R. n. 533/1996, adottato, appunto, in esecuzione dell’articolo 4 del decreto-legge n. 26/1995. Ciò premesso, deve osservarsi che l’abrogazione del richiamato comma 5 dell’ articolo 115 del decreto legislativo n. 267/2000 da parte dell’ articolo 35 della legge 28 dicembre 2001, n. 448, trova piena giustificazione nel fatto che lo stesso articolo 38, novellando l’articolo 116 del citato decreto legislativo, ne ha limitato la disciplina all’ambito dei servizi “di cui all’articolo 113 bis”, cioè dei servizi privi di “rilevanza industriale” (espressione poi sostituita dall’espressione “rilevanza economica” secondo quanto stabilito dall’articolo 14 del decreto-legge n. 269/2003, convertito con modificazioni dalla legge 326/2003). Con l’abrogazione del predetto comma 5 dell’articolo 115 il legislatore ha inteso espungere dal contesto di un articolo disciplinante la trasformazione in società per azioni di aziende speciali, svolgenti prevalentemente attività industriali o servizi pubblici di rilevanza economica, un rinvio, ormai divenuto improprio, ad un articolo (il 116) disciplinante soltanto i servizi aventi una diversa rilevanza. Nessun argomento può invece trarsi da questo processo di aggiornamento normativo a favore della tesi dell’inapplicabilità del D.P.R. n. 533/1996 alle società che scaturiscono </w:t>
      </w:r>
      <w:r w:rsidRPr="00FE0F1E">
        <w:rPr>
          <w:rFonts w:ascii="Garamond" w:eastAsia="Times New Roman" w:hAnsi="Garamond" w:cs="Times New Roman"/>
          <w:sz w:val="24"/>
          <w:szCs w:val="24"/>
          <w:lang w:eastAsia="it-IT"/>
        </w:rPr>
        <w:lastRenderedPageBreak/>
        <w:t xml:space="preserve">dalla trasformazione delle aziende speciali. L’abrogazione del comma 5 dell’art. 115 del </w:t>
      </w:r>
      <w:proofErr w:type="spellStart"/>
      <w:r w:rsidRPr="00FE0F1E">
        <w:rPr>
          <w:rFonts w:ascii="Garamond" w:eastAsia="Times New Roman" w:hAnsi="Garamond" w:cs="Times New Roman"/>
          <w:sz w:val="24"/>
          <w:szCs w:val="24"/>
          <w:lang w:eastAsia="it-IT"/>
        </w:rPr>
        <w:t>D.Lgs.</w:t>
      </w:r>
      <w:proofErr w:type="spellEnd"/>
      <w:r w:rsidRPr="00FE0F1E">
        <w:rPr>
          <w:rFonts w:ascii="Garamond" w:eastAsia="Times New Roman" w:hAnsi="Garamond" w:cs="Times New Roman"/>
          <w:sz w:val="24"/>
          <w:szCs w:val="24"/>
          <w:lang w:eastAsia="it-IT"/>
        </w:rPr>
        <w:t xml:space="preserve"> n. 267/2000 non incide, dunque, sulla puntuale possibilità di ricorrere al regolamento di cui al D.P.R. 16 settembre 1996 n. 533, che è il regolamento che disciplina l’alienazione attraverso di evidenza pubblica. </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6.11. - Né può sostenersi la non trasferibilità delle azioni della società in cui viene trasformata l’azienda speciale mediante gara con evidenza pubblica poiché l’alienabilità delle azioni è prevista dal comma 1 e dal comma 3 dell’art.115 e non può certo convincere la tesi sostenuta nell’appello che attribuisce all’abrogazione del comma 5 il significato di limitare l’alienabilità entro le limitate possibilità concesse in via aggiuntiva e residuale dal comma 4 dell’art. 115, come risulta evidente dalla formulazione della norma (“le società di cui al comma 1 possono essere costituite anche fini dell’applicazione delle norme di cui al decreto legge 21 maggio 1994, n.332,..”).</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 xml:space="preserve">6.12. – Non è considerata ammissibile in questa sede la dedotta incostituzionalità dell’art. 12 della legge n. 362/1991 e dell’art. 115 del </w:t>
      </w:r>
      <w:proofErr w:type="spellStart"/>
      <w:r w:rsidRPr="00FE0F1E">
        <w:rPr>
          <w:rFonts w:ascii="Garamond" w:eastAsia="Times New Roman" w:hAnsi="Garamond" w:cs="Times New Roman"/>
          <w:sz w:val="24"/>
          <w:szCs w:val="24"/>
          <w:lang w:eastAsia="it-IT"/>
        </w:rPr>
        <w:t>D.Lgs.</w:t>
      </w:r>
      <w:proofErr w:type="spellEnd"/>
      <w:r w:rsidRPr="00FE0F1E">
        <w:rPr>
          <w:rFonts w:ascii="Garamond" w:eastAsia="Times New Roman" w:hAnsi="Garamond" w:cs="Times New Roman"/>
          <w:sz w:val="24"/>
          <w:szCs w:val="24"/>
          <w:lang w:eastAsia="it-IT"/>
        </w:rPr>
        <w:t xml:space="preserve"> n. 267/2000, dal momento che in questa controversia non è in discussione la tutela dei diritti del dipendente della farmacia, oggetto di altro giudizio, già concluso con sentenza passata in giudicato, ma gli atti con i quali il comune ha proceduto ad individuare i soci della società costituita ai fini della gestione della farmacia. La questione di costituzionalità sollevata non è pertanto rilevante in questo giudizio. </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6.13. – I motivi di impugnazione che fanno riferimento alle questioni concernenti le modalità di svolgimento della gara sono inammissibili in quanto l’appellante non ha partecipato alla gara. Non è persuasiva l’argomentazione sostenuta nell’appello per la quale la legittimazione riconosciuta dal TAR ad agire per tutelare le posizioni soggettive derivanti dei dipendenti della farmacia sulla base dell’art. 9 della legge n. 475/1968 varrebbero anche nel caso in cui il fallimento della gara riaprisse la possibilità di applicare in via alternativa le procedure di cui al medesimo art. 9. Tale interesse è infatti di mero fatto e non ha tutela processuale in sede di svolgimento della gara, mentre può essere preso in considerazione nelle fasi precedenti, come è stato fatto nel presente giudizio conducendo a valutazioni di infondatezza o inammissibilità sia in primo grado che in appello.</w:t>
      </w:r>
    </w:p>
    <w:p w:rsidR="00FE0F1E" w:rsidRPr="00FE0F1E" w:rsidRDefault="00FE0F1E" w:rsidP="00FE0F1E">
      <w:pPr>
        <w:spacing w:after="0" w:line="240" w:lineRule="auto"/>
        <w:rPr>
          <w:rFonts w:ascii="Times New Roman" w:eastAsia="Times New Roman" w:hAnsi="Times New Roman" w:cs="Times New Roman"/>
          <w:sz w:val="24"/>
          <w:szCs w:val="24"/>
          <w:lang w:eastAsia="it-IT"/>
        </w:rPr>
      </w:pP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lastRenderedPageBreak/>
        <w:t>7. - In conclusione l’appello è in parte respinto e in parte dichiarato inammissibile mentre la sentenza del TAR viene confermata con una più ampia motivazione.</w:t>
      </w:r>
    </w:p>
    <w:p w:rsidR="00FE0F1E" w:rsidRPr="00FE0F1E" w:rsidRDefault="00FE0F1E" w:rsidP="00FE0F1E">
      <w:pPr>
        <w:spacing w:after="0" w:line="240" w:lineRule="auto"/>
        <w:rPr>
          <w:rFonts w:ascii="Times New Roman" w:eastAsia="Times New Roman" w:hAnsi="Times New Roman" w:cs="Times New Roman"/>
          <w:sz w:val="24"/>
          <w:szCs w:val="24"/>
          <w:lang w:eastAsia="it-IT"/>
        </w:rPr>
      </w:pP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 xml:space="preserve">8. – Nell’andamento della vicenda processuale si ravvisano giusti motivi per compensare le spese. </w:t>
      </w:r>
    </w:p>
    <w:p w:rsidR="00FE0F1E" w:rsidRPr="00FE0F1E" w:rsidRDefault="00FE0F1E" w:rsidP="00FE0F1E">
      <w:pPr>
        <w:spacing w:after="0" w:line="540" w:lineRule="atLeast"/>
        <w:jc w:val="center"/>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P.Q.M.</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Il Consiglio di Stato in sede giurisdizionale (Sezione Terza)</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definitivamente pronunciando sull'appello, come in epigrafe proposto,</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Respinge l'appello.</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Spese compensate.</w:t>
      </w: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Ordina che la presente sentenza sia eseguita dall'autorità amministrativa.</w:t>
      </w:r>
    </w:p>
    <w:p w:rsidR="00FE0F1E" w:rsidRPr="00FE0F1E" w:rsidRDefault="00FE0F1E" w:rsidP="00FE0F1E">
      <w:pPr>
        <w:spacing w:after="0" w:line="240" w:lineRule="auto"/>
        <w:rPr>
          <w:rFonts w:ascii="Times New Roman" w:eastAsia="Times New Roman" w:hAnsi="Times New Roman" w:cs="Times New Roman"/>
          <w:sz w:val="24"/>
          <w:szCs w:val="24"/>
          <w:lang w:eastAsia="it-IT"/>
        </w:rPr>
      </w:pPr>
    </w:p>
    <w:p w:rsidR="00FE0F1E" w:rsidRPr="00FE0F1E" w:rsidRDefault="00FE0F1E" w:rsidP="00FE0F1E">
      <w:pPr>
        <w:spacing w:after="0" w:line="520" w:lineRule="atLeast"/>
        <w:jc w:val="both"/>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Così deciso in Roma nella camera di consiglio del giorno 8 febbraio 2013 con l'intervento dei magistrati:</w:t>
      </w:r>
    </w:p>
    <w:p w:rsidR="00FE0F1E" w:rsidRPr="00FE0F1E" w:rsidRDefault="00FE0F1E" w:rsidP="00FE0F1E">
      <w:pPr>
        <w:spacing w:after="0" w:line="520" w:lineRule="atLeast"/>
        <w:ind w:firstLine="567"/>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Gianpiero Paolo Cirillo, Presidente</w:t>
      </w:r>
    </w:p>
    <w:p w:rsidR="00FE0F1E" w:rsidRPr="00FE0F1E" w:rsidRDefault="00FE0F1E" w:rsidP="00FE0F1E">
      <w:pPr>
        <w:spacing w:after="0" w:line="520" w:lineRule="atLeast"/>
        <w:ind w:firstLine="567"/>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 xml:space="preserve">Roberto </w:t>
      </w:r>
      <w:proofErr w:type="spellStart"/>
      <w:r w:rsidRPr="00FE0F1E">
        <w:rPr>
          <w:rFonts w:ascii="Garamond" w:eastAsia="Times New Roman" w:hAnsi="Garamond" w:cs="Times New Roman"/>
          <w:sz w:val="24"/>
          <w:szCs w:val="24"/>
          <w:lang w:eastAsia="it-IT"/>
        </w:rPr>
        <w:t>Capuzzi</w:t>
      </w:r>
      <w:proofErr w:type="spellEnd"/>
      <w:r w:rsidRPr="00FE0F1E">
        <w:rPr>
          <w:rFonts w:ascii="Garamond" w:eastAsia="Times New Roman" w:hAnsi="Garamond" w:cs="Times New Roman"/>
          <w:sz w:val="24"/>
          <w:szCs w:val="24"/>
          <w:lang w:eastAsia="it-IT"/>
        </w:rPr>
        <w:t>, Consigliere</w:t>
      </w:r>
    </w:p>
    <w:p w:rsidR="00FE0F1E" w:rsidRPr="00FE0F1E" w:rsidRDefault="00FE0F1E" w:rsidP="00FE0F1E">
      <w:pPr>
        <w:spacing w:after="0" w:line="520" w:lineRule="atLeast"/>
        <w:ind w:firstLine="567"/>
        <w:rPr>
          <w:rFonts w:ascii="Garamond" w:eastAsia="Times New Roman" w:hAnsi="Garamond" w:cs="Times New Roman"/>
          <w:sz w:val="24"/>
          <w:szCs w:val="24"/>
          <w:lang w:eastAsia="it-IT"/>
        </w:rPr>
      </w:pPr>
      <w:proofErr w:type="spellStart"/>
      <w:r w:rsidRPr="00FE0F1E">
        <w:rPr>
          <w:rFonts w:ascii="Garamond" w:eastAsia="Times New Roman" w:hAnsi="Garamond" w:cs="Times New Roman"/>
          <w:sz w:val="24"/>
          <w:szCs w:val="24"/>
          <w:lang w:eastAsia="it-IT"/>
        </w:rPr>
        <w:t>Hadrian</w:t>
      </w:r>
      <w:proofErr w:type="spellEnd"/>
      <w:r w:rsidRPr="00FE0F1E">
        <w:rPr>
          <w:rFonts w:ascii="Garamond" w:eastAsia="Times New Roman" w:hAnsi="Garamond" w:cs="Times New Roman"/>
          <w:sz w:val="24"/>
          <w:szCs w:val="24"/>
          <w:lang w:eastAsia="it-IT"/>
        </w:rPr>
        <w:t xml:space="preserve"> </w:t>
      </w:r>
      <w:proofErr w:type="spellStart"/>
      <w:r w:rsidRPr="00FE0F1E">
        <w:rPr>
          <w:rFonts w:ascii="Garamond" w:eastAsia="Times New Roman" w:hAnsi="Garamond" w:cs="Times New Roman"/>
          <w:sz w:val="24"/>
          <w:szCs w:val="24"/>
          <w:lang w:eastAsia="it-IT"/>
        </w:rPr>
        <w:t>Simonetti</w:t>
      </w:r>
      <w:proofErr w:type="spellEnd"/>
      <w:r w:rsidRPr="00FE0F1E">
        <w:rPr>
          <w:rFonts w:ascii="Garamond" w:eastAsia="Times New Roman" w:hAnsi="Garamond" w:cs="Times New Roman"/>
          <w:sz w:val="24"/>
          <w:szCs w:val="24"/>
          <w:lang w:eastAsia="it-IT"/>
        </w:rPr>
        <w:t>, Consigliere</w:t>
      </w:r>
    </w:p>
    <w:p w:rsidR="00FE0F1E" w:rsidRPr="00FE0F1E" w:rsidRDefault="00FE0F1E" w:rsidP="00FE0F1E">
      <w:pPr>
        <w:spacing w:after="0" w:line="520" w:lineRule="atLeast"/>
        <w:ind w:firstLine="567"/>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Dante D'Alessio, Consigliere</w:t>
      </w:r>
    </w:p>
    <w:p w:rsidR="00FE0F1E" w:rsidRPr="00FE0F1E" w:rsidRDefault="00FE0F1E" w:rsidP="00FE0F1E">
      <w:pPr>
        <w:spacing w:line="520" w:lineRule="atLeast"/>
        <w:ind w:firstLine="567"/>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 xml:space="preserve">Alessandro </w:t>
      </w:r>
      <w:proofErr w:type="spellStart"/>
      <w:r w:rsidRPr="00FE0F1E">
        <w:rPr>
          <w:rFonts w:ascii="Garamond" w:eastAsia="Times New Roman" w:hAnsi="Garamond" w:cs="Times New Roman"/>
          <w:sz w:val="24"/>
          <w:szCs w:val="24"/>
          <w:lang w:eastAsia="it-IT"/>
        </w:rPr>
        <w:t>Palanza</w:t>
      </w:r>
      <w:proofErr w:type="spellEnd"/>
      <w:r w:rsidRPr="00FE0F1E">
        <w:rPr>
          <w:rFonts w:ascii="Garamond" w:eastAsia="Times New Roman" w:hAnsi="Garamond" w:cs="Times New Roman"/>
          <w:sz w:val="24"/>
          <w:szCs w:val="24"/>
          <w:lang w:eastAsia="it-IT"/>
        </w:rPr>
        <w:t>, Consigliere, Estensore</w:t>
      </w:r>
    </w:p>
    <w:tbl>
      <w:tblPr>
        <w:tblW w:w="5000" w:type="pct"/>
        <w:tblCellMar>
          <w:top w:w="15" w:type="dxa"/>
          <w:left w:w="15" w:type="dxa"/>
          <w:bottom w:w="15" w:type="dxa"/>
          <w:right w:w="15" w:type="dxa"/>
        </w:tblCellMar>
        <w:tblLook w:val="04A0"/>
      </w:tblPr>
      <w:tblGrid>
        <w:gridCol w:w="4545"/>
        <w:gridCol w:w="96"/>
        <w:gridCol w:w="5027"/>
      </w:tblGrid>
      <w:tr w:rsidR="00FE0F1E" w:rsidRPr="00FE0F1E" w:rsidTr="00FE0F1E">
        <w:tc>
          <w:tcPr>
            <w:tcW w:w="0" w:type="auto"/>
            <w:vAlign w:val="center"/>
            <w:hideMark/>
          </w:tcPr>
          <w:p w:rsidR="00FE0F1E" w:rsidRPr="00FE0F1E" w:rsidRDefault="00FE0F1E" w:rsidP="00FE0F1E">
            <w:pPr>
              <w:spacing w:after="0" w:line="240" w:lineRule="auto"/>
              <w:jc w:val="center"/>
              <w:rPr>
                <w:rFonts w:ascii="Times New Roman" w:eastAsia="Times New Roman" w:hAnsi="Times New Roman" w:cs="Times New Roman"/>
                <w:b/>
                <w:bCs/>
                <w:sz w:val="24"/>
                <w:szCs w:val="24"/>
                <w:lang w:eastAsia="it-IT"/>
              </w:rPr>
            </w:pPr>
            <w:r w:rsidRPr="00FE0F1E">
              <w:rPr>
                <w:rFonts w:ascii="Times New Roman" w:eastAsia="Times New Roman" w:hAnsi="Times New Roman" w:cs="Times New Roman"/>
                <w:b/>
                <w:bCs/>
                <w:sz w:val="24"/>
                <w:szCs w:val="24"/>
                <w:lang w:eastAsia="it-IT"/>
              </w:rPr>
              <w:t> </w:t>
            </w:r>
          </w:p>
        </w:tc>
        <w:tc>
          <w:tcPr>
            <w:tcW w:w="0" w:type="auto"/>
            <w:vAlign w:val="center"/>
            <w:hideMark/>
          </w:tcPr>
          <w:p w:rsidR="00FE0F1E" w:rsidRPr="00FE0F1E" w:rsidRDefault="00FE0F1E" w:rsidP="00FE0F1E">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FE0F1E" w:rsidRPr="00FE0F1E" w:rsidRDefault="00FE0F1E" w:rsidP="00FE0F1E">
            <w:pPr>
              <w:spacing w:after="0" w:line="240" w:lineRule="auto"/>
              <w:jc w:val="center"/>
              <w:rPr>
                <w:rFonts w:ascii="Times New Roman" w:eastAsia="Times New Roman" w:hAnsi="Times New Roman" w:cs="Times New Roman"/>
                <w:b/>
                <w:bCs/>
                <w:sz w:val="24"/>
                <w:szCs w:val="24"/>
                <w:lang w:eastAsia="it-IT"/>
              </w:rPr>
            </w:pPr>
          </w:p>
        </w:tc>
      </w:tr>
      <w:tr w:rsidR="00FE0F1E" w:rsidRPr="00FE0F1E" w:rsidTr="00FE0F1E">
        <w:tc>
          <w:tcPr>
            <w:tcW w:w="0" w:type="auto"/>
            <w:vAlign w:val="center"/>
            <w:hideMark/>
          </w:tcPr>
          <w:p w:rsidR="00FE0F1E" w:rsidRPr="00FE0F1E" w:rsidRDefault="00FE0F1E" w:rsidP="00FE0F1E">
            <w:pPr>
              <w:spacing w:after="0" w:line="240" w:lineRule="auto"/>
              <w:jc w:val="center"/>
              <w:rPr>
                <w:rFonts w:ascii="Times New Roman" w:eastAsia="Times New Roman" w:hAnsi="Times New Roman" w:cs="Times New Roman"/>
                <w:b/>
                <w:bCs/>
                <w:sz w:val="24"/>
                <w:szCs w:val="24"/>
                <w:lang w:eastAsia="it-IT"/>
              </w:rPr>
            </w:pPr>
            <w:r w:rsidRPr="00FE0F1E">
              <w:rPr>
                <w:rFonts w:ascii="Times New Roman" w:eastAsia="Times New Roman" w:hAnsi="Times New Roman" w:cs="Times New Roman"/>
                <w:b/>
                <w:bCs/>
                <w:sz w:val="24"/>
                <w:szCs w:val="24"/>
                <w:lang w:eastAsia="it-IT"/>
              </w:rPr>
              <w:t> </w:t>
            </w:r>
          </w:p>
        </w:tc>
        <w:tc>
          <w:tcPr>
            <w:tcW w:w="0" w:type="auto"/>
            <w:vAlign w:val="center"/>
            <w:hideMark/>
          </w:tcPr>
          <w:p w:rsidR="00FE0F1E" w:rsidRPr="00FE0F1E" w:rsidRDefault="00FE0F1E" w:rsidP="00FE0F1E">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FE0F1E" w:rsidRPr="00FE0F1E" w:rsidRDefault="00FE0F1E" w:rsidP="00FE0F1E">
            <w:pPr>
              <w:spacing w:after="0" w:line="240" w:lineRule="auto"/>
              <w:jc w:val="center"/>
              <w:rPr>
                <w:rFonts w:ascii="Times New Roman" w:eastAsia="Times New Roman" w:hAnsi="Times New Roman" w:cs="Times New Roman"/>
                <w:b/>
                <w:bCs/>
                <w:sz w:val="24"/>
                <w:szCs w:val="24"/>
                <w:lang w:eastAsia="it-IT"/>
              </w:rPr>
            </w:pPr>
          </w:p>
        </w:tc>
      </w:tr>
      <w:tr w:rsidR="00FE0F1E" w:rsidRPr="00FE0F1E" w:rsidTr="00FE0F1E">
        <w:tc>
          <w:tcPr>
            <w:tcW w:w="0" w:type="auto"/>
            <w:vAlign w:val="center"/>
            <w:hideMark/>
          </w:tcPr>
          <w:p w:rsidR="00FE0F1E" w:rsidRPr="00FE0F1E" w:rsidRDefault="00FE0F1E" w:rsidP="00FE0F1E">
            <w:pPr>
              <w:spacing w:after="0" w:line="240" w:lineRule="auto"/>
              <w:jc w:val="center"/>
              <w:rPr>
                <w:rFonts w:ascii="Times New Roman" w:eastAsia="Times New Roman" w:hAnsi="Times New Roman" w:cs="Times New Roman"/>
                <w:b/>
                <w:bCs/>
                <w:sz w:val="24"/>
                <w:szCs w:val="24"/>
                <w:lang w:eastAsia="it-IT"/>
              </w:rPr>
            </w:pPr>
            <w:r w:rsidRPr="00FE0F1E">
              <w:rPr>
                <w:rFonts w:ascii="Times New Roman" w:eastAsia="Times New Roman" w:hAnsi="Times New Roman" w:cs="Times New Roman"/>
                <w:b/>
                <w:bCs/>
                <w:sz w:val="24"/>
                <w:szCs w:val="24"/>
                <w:lang w:eastAsia="it-IT"/>
              </w:rPr>
              <w:t>L'ESTENSORE</w:t>
            </w:r>
          </w:p>
        </w:tc>
        <w:tc>
          <w:tcPr>
            <w:tcW w:w="0" w:type="auto"/>
            <w:vAlign w:val="center"/>
            <w:hideMark/>
          </w:tcPr>
          <w:p w:rsidR="00FE0F1E" w:rsidRPr="00FE0F1E" w:rsidRDefault="00FE0F1E" w:rsidP="00FE0F1E">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FE0F1E" w:rsidRPr="00FE0F1E" w:rsidRDefault="00FE0F1E" w:rsidP="00FE0F1E">
            <w:pPr>
              <w:spacing w:after="0" w:line="240" w:lineRule="auto"/>
              <w:jc w:val="center"/>
              <w:rPr>
                <w:rFonts w:ascii="Times New Roman" w:eastAsia="Times New Roman" w:hAnsi="Times New Roman" w:cs="Times New Roman"/>
                <w:b/>
                <w:bCs/>
                <w:sz w:val="24"/>
                <w:szCs w:val="24"/>
                <w:lang w:eastAsia="it-IT"/>
              </w:rPr>
            </w:pPr>
            <w:r w:rsidRPr="00FE0F1E">
              <w:rPr>
                <w:rFonts w:ascii="Times New Roman" w:eastAsia="Times New Roman" w:hAnsi="Times New Roman" w:cs="Times New Roman"/>
                <w:b/>
                <w:bCs/>
                <w:sz w:val="24"/>
                <w:szCs w:val="24"/>
                <w:lang w:eastAsia="it-IT"/>
              </w:rPr>
              <w:t>IL PRESIDENTE</w:t>
            </w:r>
          </w:p>
        </w:tc>
      </w:tr>
      <w:tr w:rsidR="00FE0F1E" w:rsidRPr="00FE0F1E" w:rsidTr="00FE0F1E">
        <w:tc>
          <w:tcPr>
            <w:tcW w:w="0" w:type="auto"/>
            <w:vAlign w:val="center"/>
            <w:hideMark/>
          </w:tcPr>
          <w:p w:rsidR="00FE0F1E" w:rsidRPr="00FE0F1E" w:rsidRDefault="00FE0F1E" w:rsidP="00FE0F1E">
            <w:pPr>
              <w:spacing w:after="0" w:line="240" w:lineRule="auto"/>
              <w:jc w:val="center"/>
              <w:rPr>
                <w:rFonts w:ascii="Times New Roman" w:eastAsia="Times New Roman" w:hAnsi="Times New Roman" w:cs="Times New Roman"/>
                <w:b/>
                <w:bCs/>
                <w:sz w:val="24"/>
                <w:szCs w:val="24"/>
                <w:lang w:eastAsia="it-IT"/>
              </w:rPr>
            </w:pPr>
            <w:r w:rsidRPr="00FE0F1E">
              <w:rPr>
                <w:rFonts w:ascii="Times New Roman" w:eastAsia="Times New Roman" w:hAnsi="Times New Roman" w:cs="Times New Roman"/>
                <w:b/>
                <w:bCs/>
                <w:sz w:val="24"/>
                <w:szCs w:val="24"/>
                <w:lang w:eastAsia="it-IT"/>
              </w:rPr>
              <w:t> </w:t>
            </w:r>
          </w:p>
        </w:tc>
        <w:tc>
          <w:tcPr>
            <w:tcW w:w="0" w:type="auto"/>
            <w:vAlign w:val="center"/>
            <w:hideMark/>
          </w:tcPr>
          <w:p w:rsidR="00FE0F1E" w:rsidRPr="00FE0F1E" w:rsidRDefault="00FE0F1E" w:rsidP="00FE0F1E">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FE0F1E" w:rsidRPr="00FE0F1E" w:rsidRDefault="00FE0F1E" w:rsidP="00FE0F1E">
            <w:pPr>
              <w:spacing w:after="0" w:line="240" w:lineRule="auto"/>
              <w:jc w:val="center"/>
              <w:rPr>
                <w:rFonts w:ascii="Times New Roman" w:eastAsia="Times New Roman" w:hAnsi="Times New Roman" w:cs="Times New Roman"/>
                <w:b/>
                <w:bCs/>
                <w:sz w:val="24"/>
                <w:szCs w:val="24"/>
                <w:lang w:eastAsia="it-IT"/>
              </w:rPr>
            </w:pPr>
          </w:p>
        </w:tc>
      </w:tr>
      <w:tr w:rsidR="00FE0F1E" w:rsidRPr="00FE0F1E" w:rsidTr="00FE0F1E">
        <w:tc>
          <w:tcPr>
            <w:tcW w:w="0" w:type="auto"/>
            <w:vAlign w:val="center"/>
            <w:hideMark/>
          </w:tcPr>
          <w:p w:rsidR="00FE0F1E" w:rsidRPr="00FE0F1E" w:rsidRDefault="00FE0F1E" w:rsidP="00FE0F1E">
            <w:pPr>
              <w:spacing w:after="0" w:line="240" w:lineRule="auto"/>
              <w:jc w:val="center"/>
              <w:rPr>
                <w:rFonts w:ascii="Times New Roman" w:eastAsia="Times New Roman" w:hAnsi="Times New Roman" w:cs="Times New Roman"/>
                <w:b/>
                <w:bCs/>
                <w:sz w:val="24"/>
                <w:szCs w:val="24"/>
                <w:lang w:eastAsia="it-IT"/>
              </w:rPr>
            </w:pPr>
            <w:r w:rsidRPr="00FE0F1E">
              <w:rPr>
                <w:rFonts w:ascii="Times New Roman" w:eastAsia="Times New Roman" w:hAnsi="Times New Roman" w:cs="Times New Roman"/>
                <w:b/>
                <w:bCs/>
                <w:sz w:val="24"/>
                <w:szCs w:val="24"/>
                <w:lang w:eastAsia="it-IT"/>
              </w:rPr>
              <w:t> </w:t>
            </w:r>
          </w:p>
        </w:tc>
        <w:tc>
          <w:tcPr>
            <w:tcW w:w="0" w:type="auto"/>
            <w:vAlign w:val="center"/>
            <w:hideMark/>
          </w:tcPr>
          <w:p w:rsidR="00FE0F1E" w:rsidRPr="00FE0F1E" w:rsidRDefault="00FE0F1E" w:rsidP="00FE0F1E">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FE0F1E" w:rsidRPr="00FE0F1E" w:rsidRDefault="00FE0F1E" w:rsidP="00FE0F1E">
            <w:pPr>
              <w:spacing w:after="0" w:line="240" w:lineRule="auto"/>
              <w:jc w:val="center"/>
              <w:rPr>
                <w:rFonts w:ascii="Times New Roman" w:eastAsia="Times New Roman" w:hAnsi="Times New Roman" w:cs="Times New Roman"/>
                <w:b/>
                <w:bCs/>
                <w:sz w:val="24"/>
                <w:szCs w:val="24"/>
                <w:lang w:eastAsia="it-IT"/>
              </w:rPr>
            </w:pPr>
          </w:p>
        </w:tc>
      </w:tr>
      <w:tr w:rsidR="00FE0F1E" w:rsidRPr="00FE0F1E" w:rsidTr="00FE0F1E">
        <w:tc>
          <w:tcPr>
            <w:tcW w:w="0" w:type="auto"/>
            <w:vAlign w:val="center"/>
            <w:hideMark/>
          </w:tcPr>
          <w:p w:rsidR="00FE0F1E" w:rsidRPr="00FE0F1E" w:rsidRDefault="00FE0F1E" w:rsidP="00FE0F1E">
            <w:pPr>
              <w:spacing w:after="0" w:line="240" w:lineRule="auto"/>
              <w:jc w:val="center"/>
              <w:rPr>
                <w:rFonts w:ascii="Times New Roman" w:eastAsia="Times New Roman" w:hAnsi="Times New Roman" w:cs="Times New Roman"/>
                <w:b/>
                <w:bCs/>
                <w:sz w:val="24"/>
                <w:szCs w:val="24"/>
                <w:lang w:eastAsia="it-IT"/>
              </w:rPr>
            </w:pPr>
            <w:r w:rsidRPr="00FE0F1E">
              <w:rPr>
                <w:rFonts w:ascii="Times New Roman" w:eastAsia="Times New Roman" w:hAnsi="Times New Roman" w:cs="Times New Roman"/>
                <w:b/>
                <w:bCs/>
                <w:sz w:val="24"/>
                <w:szCs w:val="24"/>
                <w:lang w:eastAsia="it-IT"/>
              </w:rPr>
              <w:t> </w:t>
            </w:r>
          </w:p>
        </w:tc>
        <w:tc>
          <w:tcPr>
            <w:tcW w:w="0" w:type="auto"/>
            <w:vAlign w:val="center"/>
            <w:hideMark/>
          </w:tcPr>
          <w:p w:rsidR="00FE0F1E" w:rsidRPr="00FE0F1E" w:rsidRDefault="00FE0F1E" w:rsidP="00FE0F1E">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FE0F1E" w:rsidRPr="00FE0F1E" w:rsidRDefault="00FE0F1E" w:rsidP="00FE0F1E">
            <w:pPr>
              <w:spacing w:after="0" w:line="240" w:lineRule="auto"/>
              <w:jc w:val="center"/>
              <w:rPr>
                <w:rFonts w:ascii="Times New Roman" w:eastAsia="Times New Roman" w:hAnsi="Times New Roman" w:cs="Times New Roman"/>
                <w:b/>
                <w:bCs/>
                <w:sz w:val="24"/>
                <w:szCs w:val="24"/>
                <w:lang w:eastAsia="it-IT"/>
              </w:rPr>
            </w:pPr>
          </w:p>
        </w:tc>
      </w:tr>
      <w:tr w:rsidR="00FE0F1E" w:rsidRPr="00FE0F1E" w:rsidTr="00FE0F1E">
        <w:tc>
          <w:tcPr>
            <w:tcW w:w="0" w:type="auto"/>
            <w:vAlign w:val="center"/>
            <w:hideMark/>
          </w:tcPr>
          <w:p w:rsidR="00FE0F1E" w:rsidRPr="00FE0F1E" w:rsidRDefault="00FE0F1E" w:rsidP="00FE0F1E">
            <w:pPr>
              <w:spacing w:after="0" w:line="240" w:lineRule="auto"/>
              <w:jc w:val="center"/>
              <w:rPr>
                <w:rFonts w:ascii="Times New Roman" w:eastAsia="Times New Roman" w:hAnsi="Times New Roman" w:cs="Times New Roman"/>
                <w:b/>
                <w:bCs/>
                <w:sz w:val="24"/>
                <w:szCs w:val="24"/>
                <w:lang w:eastAsia="it-IT"/>
              </w:rPr>
            </w:pPr>
            <w:r w:rsidRPr="00FE0F1E">
              <w:rPr>
                <w:rFonts w:ascii="Times New Roman" w:eastAsia="Times New Roman" w:hAnsi="Times New Roman" w:cs="Times New Roman"/>
                <w:b/>
                <w:bCs/>
                <w:sz w:val="24"/>
                <w:szCs w:val="24"/>
                <w:lang w:eastAsia="it-IT"/>
              </w:rPr>
              <w:t> </w:t>
            </w:r>
          </w:p>
        </w:tc>
        <w:tc>
          <w:tcPr>
            <w:tcW w:w="0" w:type="auto"/>
            <w:vAlign w:val="center"/>
            <w:hideMark/>
          </w:tcPr>
          <w:p w:rsidR="00FE0F1E" w:rsidRPr="00FE0F1E" w:rsidRDefault="00FE0F1E" w:rsidP="00FE0F1E">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FE0F1E" w:rsidRPr="00FE0F1E" w:rsidRDefault="00FE0F1E" w:rsidP="00FE0F1E">
            <w:pPr>
              <w:spacing w:after="0" w:line="240" w:lineRule="auto"/>
              <w:jc w:val="center"/>
              <w:rPr>
                <w:rFonts w:ascii="Times New Roman" w:eastAsia="Times New Roman" w:hAnsi="Times New Roman" w:cs="Times New Roman"/>
                <w:b/>
                <w:bCs/>
                <w:sz w:val="24"/>
                <w:szCs w:val="24"/>
                <w:lang w:eastAsia="it-IT"/>
              </w:rPr>
            </w:pPr>
          </w:p>
        </w:tc>
      </w:tr>
      <w:tr w:rsidR="00FE0F1E" w:rsidRPr="00FE0F1E" w:rsidTr="00FE0F1E">
        <w:tc>
          <w:tcPr>
            <w:tcW w:w="0" w:type="auto"/>
            <w:vAlign w:val="center"/>
            <w:hideMark/>
          </w:tcPr>
          <w:p w:rsidR="00FE0F1E" w:rsidRPr="00FE0F1E" w:rsidRDefault="00FE0F1E" w:rsidP="00FE0F1E">
            <w:pPr>
              <w:spacing w:after="0" w:line="240" w:lineRule="auto"/>
              <w:jc w:val="center"/>
              <w:rPr>
                <w:rFonts w:ascii="Times New Roman" w:eastAsia="Times New Roman" w:hAnsi="Times New Roman" w:cs="Times New Roman"/>
                <w:b/>
                <w:bCs/>
                <w:sz w:val="24"/>
                <w:szCs w:val="24"/>
                <w:lang w:eastAsia="it-IT"/>
              </w:rPr>
            </w:pPr>
            <w:r w:rsidRPr="00FE0F1E">
              <w:rPr>
                <w:rFonts w:ascii="Times New Roman" w:eastAsia="Times New Roman" w:hAnsi="Times New Roman" w:cs="Times New Roman"/>
                <w:b/>
                <w:bCs/>
                <w:sz w:val="24"/>
                <w:szCs w:val="24"/>
                <w:lang w:eastAsia="it-IT"/>
              </w:rPr>
              <w:t> </w:t>
            </w:r>
          </w:p>
        </w:tc>
        <w:tc>
          <w:tcPr>
            <w:tcW w:w="0" w:type="auto"/>
            <w:vAlign w:val="center"/>
            <w:hideMark/>
          </w:tcPr>
          <w:p w:rsidR="00FE0F1E" w:rsidRPr="00FE0F1E" w:rsidRDefault="00FE0F1E" w:rsidP="00FE0F1E">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FE0F1E" w:rsidRPr="00FE0F1E" w:rsidRDefault="00FE0F1E" w:rsidP="00FE0F1E">
            <w:pPr>
              <w:spacing w:after="0" w:line="240" w:lineRule="auto"/>
              <w:jc w:val="center"/>
              <w:rPr>
                <w:rFonts w:ascii="Times New Roman" w:eastAsia="Times New Roman" w:hAnsi="Times New Roman" w:cs="Times New Roman"/>
                <w:b/>
                <w:bCs/>
                <w:sz w:val="24"/>
                <w:szCs w:val="24"/>
                <w:lang w:eastAsia="it-IT"/>
              </w:rPr>
            </w:pPr>
          </w:p>
        </w:tc>
      </w:tr>
    </w:tbl>
    <w:p w:rsidR="00FE0F1E" w:rsidRPr="00FE0F1E" w:rsidRDefault="00FE0F1E" w:rsidP="00FE0F1E">
      <w:pPr>
        <w:spacing w:after="0" w:line="540" w:lineRule="atLeast"/>
        <w:jc w:val="center"/>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DEPOSITATA IN SEGRETERIA</w:t>
      </w:r>
    </w:p>
    <w:p w:rsidR="00FE0F1E" w:rsidRPr="00FE0F1E" w:rsidRDefault="00FE0F1E" w:rsidP="00FE0F1E">
      <w:pPr>
        <w:spacing w:after="0" w:line="540" w:lineRule="atLeast"/>
        <w:jc w:val="center"/>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Il 09/07/2013</w:t>
      </w:r>
    </w:p>
    <w:p w:rsidR="00FE0F1E" w:rsidRPr="00FE0F1E" w:rsidRDefault="00FE0F1E" w:rsidP="00FE0F1E">
      <w:pPr>
        <w:spacing w:after="0" w:line="540" w:lineRule="atLeast"/>
        <w:jc w:val="center"/>
        <w:rPr>
          <w:rFonts w:ascii="Garamond" w:eastAsia="Times New Roman" w:hAnsi="Garamond" w:cs="Times New Roman"/>
          <w:sz w:val="24"/>
          <w:szCs w:val="24"/>
          <w:lang w:eastAsia="it-IT"/>
        </w:rPr>
      </w:pPr>
      <w:r w:rsidRPr="00FE0F1E">
        <w:rPr>
          <w:rFonts w:ascii="Garamond" w:eastAsia="Times New Roman" w:hAnsi="Garamond" w:cs="Times New Roman"/>
          <w:sz w:val="24"/>
          <w:szCs w:val="24"/>
          <w:lang w:eastAsia="it-IT"/>
        </w:rPr>
        <w:t>IL SEGRETARIO</w:t>
      </w:r>
    </w:p>
    <w:p w:rsidR="00FE0F1E" w:rsidRPr="00FE0F1E" w:rsidRDefault="00FE0F1E" w:rsidP="00FE0F1E">
      <w:pPr>
        <w:spacing w:line="540" w:lineRule="atLeast"/>
        <w:jc w:val="center"/>
        <w:rPr>
          <w:rFonts w:ascii="Garamond" w:eastAsia="Times New Roman" w:hAnsi="Garamond" w:cs="Times New Roman"/>
          <w:sz w:val="24"/>
          <w:szCs w:val="24"/>
          <w:lang w:val="en-US" w:eastAsia="it-IT"/>
        </w:rPr>
      </w:pPr>
      <w:r w:rsidRPr="00FE0F1E">
        <w:rPr>
          <w:rFonts w:ascii="Garamond" w:eastAsia="Times New Roman" w:hAnsi="Garamond" w:cs="Times New Roman"/>
          <w:sz w:val="24"/>
          <w:szCs w:val="24"/>
          <w:lang w:val="en-US" w:eastAsia="it-IT"/>
        </w:rPr>
        <w:t xml:space="preserve">(Art. 89, co. 3, cod. proc. </w:t>
      </w:r>
      <w:proofErr w:type="spellStart"/>
      <w:r w:rsidRPr="00FE0F1E">
        <w:rPr>
          <w:rFonts w:ascii="Garamond" w:eastAsia="Times New Roman" w:hAnsi="Garamond" w:cs="Times New Roman"/>
          <w:sz w:val="24"/>
          <w:szCs w:val="24"/>
          <w:lang w:val="en-US" w:eastAsia="it-IT"/>
        </w:rPr>
        <w:t>amm</w:t>
      </w:r>
      <w:proofErr w:type="spellEnd"/>
      <w:r w:rsidRPr="00FE0F1E">
        <w:rPr>
          <w:rFonts w:ascii="Garamond" w:eastAsia="Times New Roman" w:hAnsi="Garamond" w:cs="Times New Roman"/>
          <w:sz w:val="24"/>
          <w:szCs w:val="24"/>
          <w:lang w:val="en-US" w:eastAsia="it-IT"/>
        </w:rPr>
        <w:t>.)</w:t>
      </w:r>
    </w:p>
    <w:p w:rsidR="00272420" w:rsidRPr="00FE0F1E" w:rsidRDefault="00272420">
      <w:pPr>
        <w:rPr>
          <w:lang w:val="en-US"/>
        </w:rPr>
      </w:pPr>
    </w:p>
    <w:sectPr w:rsidR="00272420" w:rsidRPr="00FE0F1E" w:rsidSect="00272420">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671" w:rsidRDefault="006C5671" w:rsidP="006C5671">
      <w:pPr>
        <w:spacing w:after="0" w:line="240" w:lineRule="auto"/>
      </w:pPr>
      <w:r>
        <w:separator/>
      </w:r>
    </w:p>
  </w:endnote>
  <w:endnote w:type="continuationSeparator" w:id="0">
    <w:p w:rsidR="006C5671" w:rsidRDefault="006C5671" w:rsidP="006C56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ordic">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8938"/>
      <w:docPartObj>
        <w:docPartGallery w:val="Page Numbers (Bottom of Page)"/>
        <w:docPartUnique/>
      </w:docPartObj>
    </w:sdtPr>
    <w:sdtContent>
      <w:p w:rsidR="006C5671" w:rsidRDefault="006C5671">
        <w:pPr>
          <w:pStyle w:val="Pidipagina"/>
          <w:jc w:val="center"/>
        </w:pPr>
        <w:fldSimple w:instr=" PAGE   \* MERGEFORMAT ">
          <w:r w:rsidR="00833539">
            <w:rPr>
              <w:noProof/>
            </w:rPr>
            <w:t>11</w:t>
          </w:r>
        </w:fldSimple>
      </w:p>
    </w:sdtContent>
  </w:sdt>
  <w:p w:rsidR="006C5671" w:rsidRDefault="006C567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671" w:rsidRDefault="006C5671" w:rsidP="006C5671">
      <w:pPr>
        <w:spacing w:after="0" w:line="240" w:lineRule="auto"/>
      </w:pPr>
      <w:r>
        <w:separator/>
      </w:r>
    </w:p>
  </w:footnote>
  <w:footnote w:type="continuationSeparator" w:id="0">
    <w:p w:rsidR="006C5671" w:rsidRDefault="006C5671" w:rsidP="006C56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E0F1E"/>
    <w:rsid w:val="00272420"/>
    <w:rsid w:val="006C5671"/>
    <w:rsid w:val="00833539"/>
    <w:rsid w:val="009C1044"/>
    <w:rsid w:val="00AD0566"/>
    <w:rsid w:val="00FE0F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24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FE0F1E"/>
    <w:pPr>
      <w:spacing w:before="100" w:beforeAutospacing="1" w:after="100" w:afterAutospacing="1" w:line="0" w:lineRule="atLeast"/>
      <w:jc w:val="right"/>
    </w:pPr>
    <w:rPr>
      <w:rFonts w:ascii="Times Nordic" w:eastAsia="Times New Roman" w:hAnsi="Times Nordic" w:cs="Times New Roman"/>
      <w:b/>
      <w:bCs/>
      <w:lang w:eastAsia="it-IT"/>
    </w:rPr>
  </w:style>
  <w:style w:type="paragraph" w:customStyle="1" w:styleId="repubblica">
    <w:name w:val="repubblica"/>
    <w:basedOn w:val="Normale"/>
    <w:rsid w:val="00FE0F1E"/>
    <w:pPr>
      <w:spacing w:before="100" w:beforeAutospacing="1" w:after="100" w:afterAutospacing="1" w:line="240" w:lineRule="auto"/>
      <w:jc w:val="center"/>
    </w:pPr>
    <w:rPr>
      <w:rFonts w:ascii="Garamond" w:eastAsia="Times New Roman" w:hAnsi="Garamond" w:cs="Times New Roman"/>
      <w:b/>
      <w:bCs/>
      <w:color w:val="000000"/>
      <w:spacing w:val="150"/>
      <w:sz w:val="24"/>
      <w:szCs w:val="24"/>
      <w:lang w:eastAsia="it-IT"/>
    </w:rPr>
  </w:style>
  <w:style w:type="paragraph" w:customStyle="1" w:styleId="popolo">
    <w:name w:val="popolo"/>
    <w:basedOn w:val="Normale"/>
    <w:rsid w:val="00FE0F1E"/>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FE0F1E"/>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innome">
    <w:name w:val="innome"/>
    <w:basedOn w:val="Normale"/>
    <w:rsid w:val="00FE0F1E"/>
    <w:pPr>
      <w:spacing w:before="100" w:beforeAutospacing="1" w:after="100" w:afterAutospacing="1" w:line="240" w:lineRule="auto"/>
      <w:jc w:val="center"/>
    </w:pPr>
    <w:rPr>
      <w:rFonts w:ascii="Garamond" w:eastAsia="Times New Roman" w:hAnsi="Garamond" w:cs="Times New Roman"/>
      <w:b/>
      <w:bCs/>
      <w:color w:val="000000"/>
      <w:lang w:eastAsia="it-IT"/>
    </w:rPr>
  </w:style>
  <w:style w:type="paragraph" w:customStyle="1" w:styleId="contro">
    <w:name w:val="contro"/>
    <w:basedOn w:val="Normale"/>
    <w:rsid w:val="00FE0F1E"/>
    <w:pPr>
      <w:spacing w:after="0" w:line="520" w:lineRule="atLeast"/>
      <w:jc w:val="center"/>
    </w:pPr>
    <w:rPr>
      <w:rFonts w:ascii="Garamond" w:eastAsia="Times New Roman" w:hAnsi="Garamond" w:cs="Times New Roman"/>
      <w:b/>
      <w:bCs/>
      <w:i/>
      <w:iCs/>
      <w:sz w:val="30"/>
      <w:szCs w:val="30"/>
      <w:lang w:eastAsia="it-IT"/>
    </w:rPr>
  </w:style>
  <w:style w:type="paragraph" w:customStyle="1" w:styleId="tabula">
    <w:name w:val="tabula"/>
    <w:basedOn w:val="Normale"/>
    <w:rsid w:val="00FE0F1E"/>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FE0F1E"/>
    <w:pPr>
      <w:spacing w:after="0" w:line="540" w:lineRule="atLeast"/>
      <w:jc w:val="center"/>
    </w:pPr>
    <w:rPr>
      <w:rFonts w:ascii="Garamond" w:eastAsia="Times New Roman" w:hAnsi="Garamond" w:cs="Times New Roman"/>
      <w:sz w:val="30"/>
      <w:szCs w:val="30"/>
      <w:lang w:eastAsia="it-IT"/>
    </w:rPr>
  </w:style>
  <w:style w:type="paragraph" w:styleId="Testofumetto">
    <w:name w:val="Balloon Text"/>
    <w:basedOn w:val="Normale"/>
    <w:link w:val="TestofumettoCarattere"/>
    <w:uiPriority w:val="99"/>
    <w:semiHidden/>
    <w:unhideWhenUsed/>
    <w:rsid w:val="00FE0F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0F1E"/>
    <w:rPr>
      <w:rFonts w:ascii="Tahoma" w:hAnsi="Tahoma" w:cs="Tahoma"/>
      <w:sz w:val="16"/>
      <w:szCs w:val="16"/>
    </w:rPr>
  </w:style>
  <w:style w:type="paragraph" w:styleId="Intestazione">
    <w:name w:val="header"/>
    <w:basedOn w:val="Normale"/>
    <w:link w:val="IntestazioneCarattere"/>
    <w:uiPriority w:val="99"/>
    <w:semiHidden/>
    <w:unhideWhenUsed/>
    <w:rsid w:val="006C56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C5671"/>
  </w:style>
  <w:style w:type="paragraph" w:styleId="Pidipagina">
    <w:name w:val="footer"/>
    <w:basedOn w:val="Normale"/>
    <w:link w:val="PidipaginaCarattere"/>
    <w:uiPriority w:val="99"/>
    <w:unhideWhenUsed/>
    <w:rsid w:val="006C56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5671"/>
  </w:style>
</w:styles>
</file>

<file path=word/webSettings.xml><?xml version="1.0" encoding="utf-8"?>
<w:webSettings xmlns:r="http://schemas.openxmlformats.org/officeDocument/2006/relationships" xmlns:w="http://schemas.openxmlformats.org/wordprocessingml/2006/main">
  <w:divs>
    <w:div w:id="1589845106">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4070</Words>
  <Characters>23202</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27218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carmela.salerno</dc:creator>
  <cp:keywords/>
  <dc:description/>
  <cp:lastModifiedBy>carmela.salerno</cp:lastModifiedBy>
  <cp:revision>2</cp:revision>
  <cp:lastPrinted>2013-07-25T08:49:00Z</cp:lastPrinted>
  <dcterms:created xsi:type="dcterms:W3CDTF">2013-07-25T08:38:00Z</dcterms:created>
  <dcterms:modified xsi:type="dcterms:W3CDTF">2013-07-25T11:30:00Z</dcterms:modified>
</cp:coreProperties>
</file>