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0A" w:rsidRPr="00175E80" w:rsidRDefault="00F6650A" w:rsidP="00175E80">
      <w:pPr>
        <w:jc w:val="both"/>
      </w:pPr>
    </w:p>
    <w:p w:rsidR="00F6650A" w:rsidRPr="00175E80" w:rsidRDefault="001F3E2B" w:rsidP="00175E80">
      <w:pPr>
        <w:pStyle w:val="repubblica"/>
        <w:spacing w:before="0" w:beforeAutospacing="0" w:after="0" w:afterAutospacing="0"/>
        <w:jc w:val="center"/>
        <w:rPr>
          <w:b/>
          <w:bCs/>
          <w:color w:val="000000"/>
          <w:spacing w:val="109"/>
        </w:rPr>
      </w:pPr>
      <w:r w:rsidRPr="00175E80">
        <w:rPr>
          <w:b/>
          <w:bCs/>
          <w:noProof/>
          <w:color w:val="000000"/>
          <w:spacing w:val="109"/>
        </w:rPr>
        <w:drawing>
          <wp:inline distT="0" distB="0" distL="0" distR="0">
            <wp:extent cx="724535" cy="828040"/>
            <wp:effectExtent l="19050" t="0" r="0" b="0"/>
            <wp:docPr id="1" name="Immagine 1" descr="http://www.giustizia-amministrativa.it/DocumentiGA/Consiglio di Stato/Sezione 2/2011/201102548/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onsiglio di Stato/Sezione 2/2011/201102548/Provvedimenti/stemma.jpg"/>
                    <pic:cNvPicPr>
                      <a:picLocks noChangeAspect="1" noChangeArrowheads="1"/>
                    </pic:cNvPicPr>
                  </pic:nvPicPr>
                  <pic:blipFill>
                    <a:blip r:embed="rId6" cstate="print"/>
                    <a:srcRect/>
                    <a:stretch>
                      <a:fillRect/>
                    </a:stretch>
                  </pic:blipFill>
                  <pic:spPr bwMode="auto">
                    <a:xfrm>
                      <a:off x="0" y="0"/>
                      <a:ext cx="724535" cy="828040"/>
                    </a:xfrm>
                    <a:prstGeom prst="rect">
                      <a:avLst/>
                    </a:prstGeom>
                    <a:noFill/>
                    <a:ln w="9525">
                      <a:noFill/>
                      <a:miter lim="800000"/>
                      <a:headEnd/>
                      <a:tailEnd/>
                    </a:ln>
                  </pic:spPr>
                </pic:pic>
              </a:graphicData>
            </a:graphic>
          </wp:inline>
        </w:drawing>
      </w:r>
    </w:p>
    <w:p w:rsidR="00F6650A" w:rsidRPr="00175E80" w:rsidRDefault="00F6650A" w:rsidP="00175E80">
      <w:pPr>
        <w:pStyle w:val="repubblica"/>
        <w:spacing w:before="0" w:beforeAutospacing="0" w:after="0" w:afterAutospacing="0"/>
        <w:jc w:val="center"/>
        <w:rPr>
          <w:b/>
          <w:bCs/>
          <w:color w:val="000000"/>
          <w:spacing w:val="109"/>
        </w:rPr>
      </w:pPr>
      <w:r w:rsidRPr="00175E80">
        <w:rPr>
          <w:b/>
          <w:bCs/>
          <w:color w:val="000000"/>
          <w:spacing w:val="109"/>
        </w:rPr>
        <w:t>REPUBBLICA ITALIANA</w:t>
      </w:r>
    </w:p>
    <w:p w:rsidR="00F6650A" w:rsidRPr="00175E80" w:rsidRDefault="00F6650A" w:rsidP="00175E80">
      <w:pPr>
        <w:pStyle w:val="sezionegrande"/>
        <w:spacing w:before="0" w:beforeAutospacing="0" w:after="0" w:afterAutospacing="0"/>
        <w:jc w:val="center"/>
        <w:rPr>
          <w:b/>
          <w:bCs/>
          <w:color w:val="000000"/>
        </w:rPr>
      </w:pPr>
      <w:r w:rsidRPr="00175E80">
        <w:rPr>
          <w:b/>
          <w:bCs/>
          <w:color w:val="000000"/>
        </w:rPr>
        <w:t>Consiglio di Stato</w:t>
      </w:r>
    </w:p>
    <w:p w:rsidR="00F6650A" w:rsidRPr="00175E80" w:rsidRDefault="00F6650A" w:rsidP="00175E80">
      <w:pPr>
        <w:pStyle w:val="sezione"/>
        <w:spacing w:before="0" w:beforeAutospacing="0" w:after="0" w:afterAutospacing="0"/>
        <w:jc w:val="center"/>
        <w:rPr>
          <w:b/>
          <w:bCs/>
          <w:color w:val="000000"/>
        </w:rPr>
      </w:pPr>
      <w:r w:rsidRPr="00175E80">
        <w:rPr>
          <w:b/>
          <w:bCs/>
          <w:color w:val="000000"/>
        </w:rPr>
        <w:t>Sezione Seconda</w:t>
      </w:r>
    </w:p>
    <w:p w:rsidR="00F6650A" w:rsidRPr="00175E80" w:rsidRDefault="00F6650A" w:rsidP="00175E80">
      <w:pPr>
        <w:pStyle w:val="sezione"/>
        <w:spacing w:before="0" w:beforeAutospacing="0" w:after="0" w:afterAutospacing="0"/>
        <w:jc w:val="center"/>
        <w:rPr>
          <w:b/>
          <w:bCs/>
          <w:color w:val="000000"/>
        </w:rPr>
      </w:pPr>
      <w:r w:rsidRPr="00175E80">
        <w:rPr>
          <w:b/>
          <w:bCs/>
          <w:color w:val="000000"/>
        </w:rPr>
        <w:t>Adunanza di Sezione del 6 marzo 2013</w:t>
      </w:r>
    </w:p>
    <w:p w:rsidR="00F6650A" w:rsidRPr="00175E80" w:rsidRDefault="00F6650A" w:rsidP="00175E80">
      <w:pPr>
        <w:rPr>
          <w:b/>
          <w:bCs/>
          <w:color w:val="000000"/>
        </w:rPr>
      </w:pPr>
      <w:r w:rsidRPr="00175E80">
        <w:rPr>
          <w:color w:val="000000"/>
        </w:rPr>
        <w:br/>
      </w:r>
    </w:p>
    <w:p w:rsidR="00F6650A" w:rsidRPr="00175E80" w:rsidRDefault="00F6650A" w:rsidP="00175E80">
      <w:pPr>
        <w:pStyle w:val="rigth"/>
        <w:spacing w:before="0" w:beforeAutospacing="0" w:after="0" w:afterAutospacing="0"/>
        <w:rPr>
          <w:b/>
          <w:bCs/>
          <w:color w:val="000000"/>
        </w:rPr>
      </w:pPr>
      <w:r w:rsidRPr="00175E80">
        <w:rPr>
          <w:b/>
          <w:bCs/>
          <w:color w:val="000000"/>
        </w:rPr>
        <w:t>NUMERO AFFARE 02548/2011</w:t>
      </w:r>
    </w:p>
    <w:p w:rsidR="00F6650A" w:rsidRPr="00175E80" w:rsidRDefault="00F6650A" w:rsidP="00175E80">
      <w:pPr>
        <w:pStyle w:val="rigth"/>
        <w:spacing w:before="0" w:beforeAutospacing="0" w:after="0" w:afterAutospacing="0"/>
        <w:rPr>
          <w:b/>
          <w:bCs/>
          <w:color w:val="000000"/>
        </w:rPr>
      </w:pPr>
      <w:r w:rsidRPr="00175E80">
        <w:rPr>
          <w:b/>
          <w:bCs/>
          <w:color w:val="000000"/>
        </w:rPr>
        <w:t>NUMERO AFFARE 02549/2011</w:t>
      </w:r>
    </w:p>
    <w:p w:rsidR="00F6650A" w:rsidRPr="00175E80" w:rsidRDefault="00F6650A" w:rsidP="00175E80">
      <w:pPr>
        <w:pStyle w:val="popolo"/>
        <w:spacing w:before="0" w:beforeAutospacing="0" w:after="0" w:afterAutospacing="0"/>
        <w:jc w:val="both"/>
        <w:rPr>
          <w:color w:val="000000"/>
        </w:rPr>
      </w:pPr>
      <w:r w:rsidRPr="00175E80">
        <w:rPr>
          <w:color w:val="000000"/>
        </w:rPr>
        <w:t>OGGETTO:</w:t>
      </w:r>
    </w:p>
    <w:p w:rsidR="00F6650A" w:rsidRPr="00175E80" w:rsidRDefault="00F6650A" w:rsidP="00175E80">
      <w:pPr>
        <w:pStyle w:val="popolo"/>
        <w:spacing w:before="0" w:beforeAutospacing="0" w:after="0" w:afterAutospacing="0"/>
        <w:jc w:val="both"/>
        <w:rPr>
          <w:color w:val="000000"/>
        </w:rPr>
      </w:pPr>
      <w:r w:rsidRPr="00175E80">
        <w:rPr>
          <w:color w:val="000000"/>
        </w:rPr>
        <w:t>Ministero dell'economia e delle finanze.</w:t>
      </w:r>
    </w:p>
    <w:p w:rsidR="00F6650A" w:rsidRPr="00175E80" w:rsidRDefault="00F6650A" w:rsidP="00175E80">
      <w:r w:rsidRPr="00175E80">
        <w:rPr>
          <w:color w:val="000000"/>
        </w:rPr>
        <w:br/>
      </w:r>
    </w:p>
    <w:p w:rsidR="00F6650A" w:rsidRPr="00175E80" w:rsidRDefault="00F6650A" w:rsidP="00175E80">
      <w:pPr>
        <w:pStyle w:val="popolo"/>
        <w:spacing w:before="0" w:beforeAutospacing="0" w:after="0" w:afterAutospacing="0"/>
        <w:jc w:val="both"/>
        <w:rPr>
          <w:color w:val="000000"/>
        </w:rPr>
      </w:pPr>
      <w:r w:rsidRPr="00175E80">
        <w:rPr>
          <w:color w:val="000000"/>
        </w:rPr>
        <w:t xml:space="preserve">quanto al ricorso n. 2548 del 2011: Ricorso straordinario al Presidente della Repubblica proposto da Soc. Tre Esse A </w:t>
      </w:r>
      <w:proofErr w:type="spellStart"/>
      <w:r w:rsidRPr="00175E80">
        <w:rPr>
          <w:color w:val="000000"/>
        </w:rPr>
        <w:t>R.L.</w:t>
      </w:r>
      <w:proofErr w:type="spellEnd"/>
      <w:r w:rsidRPr="00175E80">
        <w:rPr>
          <w:color w:val="000000"/>
        </w:rPr>
        <w:t xml:space="preserve"> in persona del legale rappresentante Sig.ra Delia Corsi, contro Comune di </w:t>
      </w:r>
      <w:proofErr w:type="spellStart"/>
      <w:r w:rsidRPr="00175E80">
        <w:rPr>
          <w:color w:val="000000"/>
        </w:rPr>
        <w:t>Civita</w:t>
      </w:r>
      <w:proofErr w:type="spellEnd"/>
      <w:r w:rsidRPr="00175E80">
        <w:rPr>
          <w:color w:val="000000"/>
        </w:rPr>
        <w:t xml:space="preserve"> Castellana, avverso delibera n.35 del 29 settembre 2009 - cancellazione dei compensi ici e </w:t>
      </w:r>
      <w:proofErr w:type="spellStart"/>
      <w:r w:rsidRPr="00175E80">
        <w:rPr>
          <w:color w:val="000000"/>
        </w:rPr>
        <w:t>tarsu</w:t>
      </w:r>
      <w:proofErr w:type="spellEnd"/>
      <w:r w:rsidRPr="00175E80">
        <w:rPr>
          <w:color w:val="000000"/>
        </w:rPr>
        <w:t>;</w:t>
      </w:r>
      <w:r w:rsidRPr="00175E80">
        <w:rPr>
          <w:color w:val="000000"/>
        </w:rPr>
        <w:br/>
        <w:t xml:space="preserve">quanto al ricorso n. 2549 del 2011: Ricorso straordinario al Presidente della Repubblica proposto da Soc. Tre Esse A </w:t>
      </w:r>
      <w:proofErr w:type="spellStart"/>
      <w:r w:rsidRPr="00175E80">
        <w:rPr>
          <w:color w:val="000000"/>
        </w:rPr>
        <w:t>R.L.</w:t>
      </w:r>
      <w:proofErr w:type="spellEnd"/>
      <w:r w:rsidRPr="00175E80">
        <w:rPr>
          <w:color w:val="000000"/>
        </w:rPr>
        <w:t xml:space="preserve"> in persona del legale rappresentante Sig.ra Delia Corsi, contro Comune di </w:t>
      </w:r>
      <w:proofErr w:type="spellStart"/>
      <w:r w:rsidRPr="00175E80">
        <w:rPr>
          <w:color w:val="000000"/>
        </w:rPr>
        <w:t>Civita</w:t>
      </w:r>
      <w:proofErr w:type="spellEnd"/>
      <w:r w:rsidRPr="00175E80">
        <w:rPr>
          <w:color w:val="000000"/>
        </w:rPr>
        <w:t xml:space="preserve"> Castellana, avverso delibera n 196 del 30 settembre 2009 - riduzione dello stanziamento nel capitolo di bilancio;</w:t>
      </w:r>
    </w:p>
    <w:p w:rsidR="00F6650A" w:rsidRPr="00175E80" w:rsidRDefault="00F6650A" w:rsidP="00175E80">
      <w:pPr>
        <w:pStyle w:val="sezione"/>
        <w:spacing w:before="0" w:beforeAutospacing="0" w:after="0" w:afterAutospacing="0"/>
        <w:jc w:val="center"/>
        <w:rPr>
          <w:b/>
          <w:bCs/>
          <w:color w:val="000000"/>
        </w:rPr>
      </w:pPr>
      <w:r w:rsidRPr="00175E80">
        <w:rPr>
          <w:b/>
          <w:bCs/>
          <w:color w:val="000000"/>
        </w:rPr>
        <w:t>LA SEZIONE</w:t>
      </w:r>
    </w:p>
    <w:p w:rsidR="00F6650A" w:rsidRPr="00175E80" w:rsidRDefault="00F6650A" w:rsidP="00175E80">
      <w:pPr>
        <w:pStyle w:val="popolo"/>
        <w:spacing w:before="0" w:beforeAutospacing="0" w:after="0" w:afterAutospacing="0"/>
        <w:jc w:val="both"/>
        <w:rPr>
          <w:color w:val="000000"/>
        </w:rPr>
      </w:pPr>
      <w:r w:rsidRPr="00175E80">
        <w:rPr>
          <w:color w:val="000000"/>
        </w:rPr>
        <w:t xml:space="preserve">Vista la nota di trasmissione dell’unica relazione </w:t>
      </w:r>
      <w:proofErr w:type="spellStart"/>
      <w:r w:rsidRPr="00175E80">
        <w:rPr>
          <w:color w:val="000000"/>
        </w:rPr>
        <w:t>prot</w:t>
      </w:r>
      <w:proofErr w:type="spellEnd"/>
      <w:r w:rsidRPr="00175E80">
        <w:rPr>
          <w:color w:val="000000"/>
        </w:rPr>
        <w:t>. n. 1761 (11788) in data 15/06/2011 con la quale il Ministero dell'economia e delle finanze ha chiesto il parere del Consiglio di Stato sugli affari consultivi in oggetto;</w:t>
      </w:r>
    </w:p>
    <w:p w:rsidR="00F6650A" w:rsidRPr="00175E80" w:rsidRDefault="00F6650A" w:rsidP="00175E80">
      <w:pPr>
        <w:pStyle w:val="popolo"/>
        <w:spacing w:before="0" w:beforeAutospacing="0" w:after="0" w:afterAutospacing="0"/>
        <w:jc w:val="both"/>
        <w:rPr>
          <w:color w:val="000000"/>
        </w:rPr>
      </w:pPr>
      <w:r w:rsidRPr="00175E80">
        <w:rPr>
          <w:color w:val="000000"/>
        </w:rPr>
        <w:t>Esaminati gli atti e udito il relatore, consigliere Francesca Quadri;</w:t>
      </w:r>
    </w:p>
    <w:p w:rsidR="00F6650A" w:rsidRPr="00175E80" w:rsidRDefault="00F6650A" w:rsidP="00175E80">
      <w:r w:rsidRPr="00175E80">
        <w:rPr>
          <w:color w:val="000000"/>
        </w:rPr>
        <w:br/>
      </w:r>
    </w:p>
    <w:p w:rsidR="00F6650A" w:rsidRPr="00175E80" w:rsidRDefault="00F6650A" w:rsidP="00175E80">
      <w:pPr>
        <w:pStyle w:val="popolo"/>
        <w:spacing w:before="0" w:beforeAutospacing="0" w:after="0" w:afterAutospacing="0"/>
        <w:jc w:val="both"/>
        <w:rPr>
          <w:color w:val="000000"/>
        </w:rPr>
      </w:pPr>
      <w:r w:rsidRPr="00175E80">
        <w:rPr>
          <w:color w:val="000000"/>
        </w:rPr>
        <w:t>Premesso:</w:t>
      </w:r>
    </w:p>
    <w:p w:rsidR="00F6650A" w:rsidRPr="00175E80" w:rsidRDefault="00F6650A" w:rsidP="00175E80">
      <w:pPr>
        <w:pStyle w:val="popolo"/>
        <w:spacing w:before="0" w:beforeAutospacing="0" w:after="0" w:afterAutospacing="0"/>
        <w:jc w:val="both"/>
        <w:rPr>
          <w:color w:val="000000"/>
        </w:rPr>
      </w:pPr>
      <w:r w:rsidRPr="00175E80">
        <w:rPr>
          <w:color w:val="000000"/>
        </w:rPr>
        <w:t xml:space="preserve">Con separati ricorsi straordinari al Presidente della Repubblica, la società TRE Esse Italia, premesso di essere incaricata, in virtù di rapporto contrattuale con il Comune di </w:t>
      </w:r>
      <w:proofErr w:type="spellStart"/>
      <w:r w:rsidRPr="00175E80">
        <w:rPr>
          <w:color w:val="000000"/>
        </w:rPr>
        <w:t>Civita</w:t>
      </w:r>
      <w:proofErr w:type="spellEnd"/>
      <w:r w:rsidRPr="00175E80">
        <w:rPr>
          <w:color w:val="000000"/>
        </w:rPr>
        <w:t xml:space="preserve"> Castellana, del servizio di riscossione della TARSU e di altri tributi, ha chiesto l’annullamento della delibera del Consiglio comunale n. 35 del 29 settembre 2009 e della delibera di Giunta n. 196 del 30 settembre 2009, con cui è stata approvata, rispettivamente, la cancellazione dal relativo capitolo di bilancio 2008 (1.01.04.03 prestazione di servizi) dell’importo relativo ai compensi in suo favore e la riduzione dello stanziamento.</w:t>
      </w:r>
    </w:p>
    <w:p w:rsidR="00F6650A" w:rsidRPr="00175E80" w:rsidRDefault="00F6650A" w:rsidP="00175E80">
      <w:pPr>
        <w:pStyle w:val="popolo"/>
        <w:spacing w:before="0" w:beforeAutospacing="0" w:after="0" w:afterAutospacing="0"/>
        <w:jc w:val="both"/>
        <w:rPr>
          <w:color w:val="000000"/>
        </w:rPr>
      </w:pPr>
      <w:r w:rsidRPr="00175E80">
        <w:rPr>
          <w:color w:val="000000"/>
        </w:rPr>
        <w:t>Assume, come motivi di ricorso, l’eccesso di potere per travisamento dei fatti, la contraddittorietà con altri atti, la violazione di legge e l’eccesso di potere per disapplicazione dei vincoli contrattuali , il difetto di motivazione, denunciando sostanzialmente la violazione da parte del Comune degli accordi contrattuali già presi ed il suo diritto ad ottenere il corrispettivo del servizio affidato.</w:t>
      </w:r>
    </w:p>
    <w:p w:rsidR="00F6650A" w:rsidRPr="00175E80" w:rsidRDefault="00F6650A" w:rsidP="00175E80">
      <w:pPr>
        <w:pStyle w:val="popolo"/>
        <w:spacing w:before="0" w:beforeAutospacing="0" w:after="0" w:afterAutospacing="0"/>
        <w:jc w:val="both"/>
        <w:rPr>
          <w:color w:val="000000"/>
        </w:rPr>
      </w:pPr>
      <w:r w:rsidRPr="00175E80">
        <w:rPr>
          <w:color w:val="000000"/>
        </w:rPr>
        <w:t xml:space="preserve">L’Amministrazione, nel riferire sui ricorsi, espone le deduzioni del Comune, con cui si afferma la nullità e l’inammissibilità dei mezzi di gravame per violazione del principio di </w:t>
      </w:r>
      <w:proofErr w:type="spellStart"/>
      <w:r w:rsidRPr="00175E80">
        <w:rPr>
          <w:color w:val="000000"/>
        </w:rPr>
        <w:t>alternatività</w:t>
      </w:r>
      <w:proofErr w:type="spellEnd"/>
      <w:r w:rsidRPr="00175E80">
        <w:rPr>
          <w:color w:val="000000"/>
        </w:rPr>
        <w:t>, essendo pendente contenzioso in merito allo stesso rapporto dinanzi al giudice ordinario (decreto ingiuntivo n. 353/09) e, nel merito, la legittimità della cancellazione della spesa per l’esercizio finanziario 2008, attesa l’insussistenza di un valido rapporto contrattuale.</w:t>
      </w:r>
    </w:p>
    <w:p w:rsidR="00F6650A" w:rsidRPr="00175E80" w:rsidRDefault="00F6650A" w:rsidP="00175E80">
      <w:pPr>
        <w:pStyle w:val="popolo"/>
        <w:spacing w:before="0" w:beforeAutospacing="0" w:after="0" w:afterAutospacing="0"/>
        <w:jc w:val="both"/>
        <w:rPr>
          <w:color w:val="000000"/>
        </w:rPr>
      </w:pPr>
      <w:r w:rsidRPr="00175E80">
        <w:rPr>
          <w:color w:val="000000"/>
        </w:rPr>
        <w:lastRenderedPageBreak/>
        <w:t>Sostiene, peraltro, la mancanza di interesse ai ricorsi, essendo essi rivolti contro atti interni di organizzazione dell’ente territoriale, non influenti sul diritto di credito vantato. Conclude, pertanto, per la loro inammissibilità ed improcedibilità.</w:t>
      </w:r>
    </w:p>
    <w:p w:rsidR="00F6650A" w:rsidRPr="00175E80" w:rsidRDefault="00F6650A" w:rsidP="00175E80">
      <w:pPr>
        <w:pStyle w:val="popolo"/>
        <w:spacing w:before="0" w:beforeAutospacing="0" w:after="0" w:afterAutospacing="0"/>
        <w:jc w:val="both"/>
        <w:rPr>
          <w:color w:val="000000"/>
        </w:rPr>
      </w:pPr>
      <w:r w:rsidRPr="00175E80">
        <w:rPr>
          <w:color w:val="000000"/>
        </w:rPr>
        <w:t>Considerato:</w:t>
      </w:r>
    </w:p>
    <w:p w:rsidR="00F6650A" w:rsidRPr="00175E80" w:rsidRDefault="00F6650A" w:rsidP="00175E80">
      <w:pPr>
        <w:pStyle w:val="popolo"/>
        <w:spacing w:before="0" w:beforeAutospacing="0" w:after="0" w:afterAutospacing="0"/>
        <w:jc w:val="both"/>
        <w:rPr>
          <w:color w:val="000000"/>
        </w:rPr>
      </w:pPr>
      <w:r w:rsidRPr="00175E80">
        <w:rPr>
          <w:color w:val="000000"/>
        </w:rPr>
        <w:t>Va, preliminarmente, disposta la riunione dei ricorsi per connessione soggettiva ed oggettiva.</w:t>
      </w:r>
    </w:p>
    <w:p w:rsidR="00F6650A" w:rsidRPr="00175E80" w:rsidRDefault="00F6650A" w:rsidP="00175E80">
      <w:pPr>
        <w:pStyle w:val="popolo"/>
        <w:spacing w:before="0" w:beforeAutospacing="0" w:after="0" w:afterAutospacing="0"/>
        <w:jc w:val="both"/>
        <w:rPr>
          <w:color w:val="000000"/>
        </w:rPr>
      </w:pPr>
      <w:r w:rsidRPr="00175E80">
        <w:rPr>
          <w:color w:val="000000"/>
        </w:rPr>
        <w:t>I ricorsi devono essere dichiarati inammissibili.</w:t>
      </w:r>
    </w:p>
    <w:p w:rsidR="00F6650A" w:rsidRPr="00175E80" w:rsidRDefault="00F6650A" w:rsidP="00175E80">
      <w:pPr>
        <w:pStyle w:val="popolo"/>
        <w:spacing w:before="0" w:beforeAutospacing="0" w:after="0" w:afterAutospacing="0"/>
        <w:jc w:val="both"/>
        <w:rPr>
          <w:color w:val="000000"/>
        </w:rPr>
      </w:pPr>
      <w:r w:rsidRPr="00175E80">
        <w:rPr>
          <w:color w:val="000000"/>
        </w:rPr>
        <w:t xml:space="preserve">Non viene in rilievo, diversamente da quanto sostenuto dal Comune, né la violazione dell’obbligo di sottoscrizione del ricorso – essendo sufficiente la sottoscrizione del legale munito di delega – né la violazione del principio di </w:t>
      </w:r>
      <w:proofErr w:type="spellStart"/>
      <w:r w:rsidRPr="00175E80">
        <w:rPr>
          <w:color w:val="000000"/>
        </w:rPr>
        <w:t>alternatività</w:t>
      </w:r>
      <w:proofErr w:type="spellEnd"/>
      <w:r w:rsidRPr="00175E80">
        <w:rPr>
          <w:color w:val="000000"/>
        </w:rPr>
        <w:t xml:space="preserve"> ai sensi dell’art. 8 </w:t>
      </w:r>
      <w:proofErr w:type="spellStart"/>
      <w:r w:rsidRPr="00175E80">
        <w:rPr>
          <w:color w:val="000000"/>
        </w:rPr>
        <w:t>d.P.R.</w:t>
      </w:r>
      <w:proofErr w:type="spellEnd"/>
      <w:r w:rsidRPr="00175E80">
        <w:rPr>
          <w:color w:val="000000"/>
        </w:rPr>
        <w:t xml:space="preserve"> n. 1199/1971 , che è volto ad evitare una concorrenza di pronunce dello stesso plesso di giustizia amministrativa TAR – Consiglio di Stato in sede consultiva ed in sede contenziosa. Pertanto, la pendenza dinanzi al giudice ordinario della controversia avente ad oggetto la spettanza del corrispettivo per l’erogazione del servizio di riscossione tributi non determina, di per sé, l’inammissibilità dell’impugnazione in sede straordinaria di un atto amministrativo per violazione del principio di </w:t>
      </w:r>
      <w:proofErr w:type="spellStart"/>
      <w:r w:rsidRPr="00175E80">
        <w:rPr>
          <w:color w:val="000000"/>
        </w:rPr>
        <w:t>alternatività</w:t>
      </w:r>
      <w:proofErr w:type="spellEnd"/>
      <w:r w:rsidRPr="00175E80">
        <w:rPr>
          <w:color w:val="000000"/>
        </w:rPr>
        <w:t>.</w:t>
      </w:r>
    </w:p>
    <w:p w:rsidR="00F6650A" w:rsidRPr="00175E80" w:rsidRDefault="00F6650A" w:rsidP="00175E80">
      <w:pPr>
        <w:pStyle w:val="popolo"/>
        <w:spacing w:before="0" w:beforeAutospacing="0" w:after="0" w:afterAutospacing="0"/>
        <w:jc w:val="both"/>
        <w:rPr>
          <w:color w:val="000000"/>
        </w:rPr>
      </w:pPr>
      <w:r w:rsidRPr="00175E80">
        <w:rPr>
          <w:color w:val="000000"/>
        </w:rPr>
        <w:t>Diversamente, i ricorsi devono essere dichiarati inammissibili per mancanza di una lesione concreta ed attuale per effetto degli atti impugnati, che legittimi la ricorrente alla presentazione dei gravami.</w:t>
      </w:r>
    </w:p>
    <w:p w:rsidR="00F6650A" w:rsidRPr="00175E80" w:rsidRDefault="00F6650A" w:rsidP="00175E80">
      <w:pPr>
        <w:pStyle w:val="popolo"/>
        <w:spacing w:before="0" w:beforeAutospacing="0" w:after="0" w:afterAutospacing="0"/>
        <w:jc w:val="both"/>
        <w:rPr>
          <w:color w:val="000000"/>
        </w:rPr>
      </w:pPr>
      <w:r w:rsidRPr="00175E80">
        <w:rPr>
          <w:color w:val="000000"/>
        </w:rPr>
        <w:t xml:space="preserve">Invero, la cancellazione dello stanziamento relativo ai compensi da versare alla ricorrente in sede di approvazione di bilancio non determina alcun effetto sulla configurabilità e sulla </w:t>
      </w:r>
      <w:proofErr w:type="spellStart"/>
      <w:r w:rsidRPr="00175E80">
        <w:rPr>
          <w:color w:val="000000"/>
        </w:rPr>
        <w:t>azionabilità</w:t>
      </w:r>
      <w:proofErr w:type="spellEnd"/>
      <w:r w:rsidRPr="00175E80">
        <w:rPr>
          <w:color w:val="000000"/>
        </w:rPr>
        <w:t>, anche in sede di esecuzione forzata, del suo diritto di credito, idonea a radicare un interesse all’impugnazione.</w:t>
      </w:r>
    </w:p>
    <w:p w:rsidR="00F6650A" w:rsidRPr="00175E80" w:rsidRDefault="00F6650A" w:rsidP="00175E80">
      <w:pPr>
        <w:pStyle w:val="popolo"/>
        <w:spacing w:before="0" w:beforeAutospacing="0" w:after="0" w:afterAutospacing="0"/>
        <w:jc w:val="both"/>
        <w:rPr>
          <w:color w:val="000000"/>
        </w:rPr>
      </w:pPr>
      <w:r w:rsidRPr="00175E80">
        <w:rPr>
          <w:color w:val="000000"/>
        </w:rPr>
        <w:t>Il bilancio, invero, contemplando tutte le entrate e tutte le uscite in una visione globale, non consente di collegare singole entrate a singole uscite e, pertanto, non può essere considerato fonte di un vincolo di destinazione in senso tecnico di particolari somme (Cass. 14.1.1981, n. 323), né, tantomeno, fonte costitutiva o estintiva unilaterale di un’obbligazione civilistica, che va ricondotta all’atto costitutivo negoziale.</w:t>
      </w:r>
    </w:p>
    <w:p w:rsidR="00F6650A" w:rsidRPr="00175E80" w:rsidRDefault="00F6650A" w:rsidP="00175E80">
      <w:pPr>
        <w:pStyle w:val="popolo"/>
        <w:spacing w:before="0" w:beforeAutospacing="0" w:after="0" w:afterAutospacing="0"/>
        <w:jc w:val="both"/>
        <w:rPr>
          <w:color w:val="000000"/>
        </w:rPr>
      </w:pPr>
      <w:r w:rsidRPr="00175E80">
        <w:rPr>
          <w:color w:val="000000"/>
        </w:rPr>
        <w:t>Anche in sede di esecuzione forzata, del tutto irrilevante è considerata la potenziale destinazione delle somme iscritte nel bilancio dell’ente ad un determinato scopo ai fini dell’impignorabilità delle somme in disponibilità del Comune, dal momento che l’impignorabilità può essere solo l’effetto di una espressa previsione legislativa o di un provvedimento amministrativo specifico che nella legge trovi il suo fondamento, che non può essere la mera iscrizione in bilancio , in quanto, al di là dei caratteri di neutralità e fungibilità del denaro, al quale non può ritenersi connaturata una specifica destinazione, le limitazioni alla responsabilità patrimoniale del debitore sono di stretta competenza del legislatore (</w:t>
      </w:r>
      <w:proofErr w:type="spellStart"/>
      <w:r w:rsidRPr="00175E80">
        <w:rPr>
          <w:color w:val="000000"/>
        </w:rPr>
        <w:t>Cass</w:t>
      </w:r>
      <w:proofErr w:type="spellEnd"/>
      <w:r w:rsidRPr="00175E80">
        <w:rPr>
          <w:color w:val="000000"/>
        </w:rPr>
        <w:t>, Sez. III, 26.7.2005, n. 15601).</w:t>
      </w:r>
    </w:p>
    <w:p w:rsidR="00F6650A" w:rsidRPr="00175E80" w:rsidRDefault="00F6650A" w:rsidP="00175E80">
      <w:pPr>
        <w:pStyle w:val="popolo"/>
        <w:spacing w:before="0" w:beforeAutospacing="0" w:after="0" w:afterAutospacing="0"/>
        <w:jc w:val="both"/>
        <w:rPr>
          <w:color w:val="000000"/>
        </w:rPr>
      </w:pPr>
      <w:r w:rsidRPr="00175E80">
        <w:rPr>
          <w:color w:val="000000"/>
        </w:rPr>
        <w:t>Ne discende che, non provocando la distribuzione della spesa da parte del Comune, attraverso l’iscrizione in bilancio degli stanziamenti nei diversi capitoli, una lesione del diritto di credito della ricorrente, ove riconosciuto da parte della competente autorità giudiziaria ordinaria, i presenti ricorsi, rivolti contro l’approvazione del bilancio, devono essere dichiarati inammissibili.</w:t>
      </w:r>
    </w:p>
    <w:p w:rsidR="00F6650A" w:rsidRPr="00175E80" w:rsidRDefault="00F6650A" w:rsidP="00175E80">
      <w:pPr>
        <w:pStyle w:val="fatto"/>
        <w:spacing w:before="0" w:beforeAutospacing="0" w:after="0" w:afterAutospacing="0"/>
        <w:jc w:val="center"/>
        <w:rPr>
          <w:color w:val="000000"/>
        </w:rPr>
      </w:pPr>
      <w:r w:rsidRPr="00175E80">
        <w:rPr>
          <w:color w:val="000000"/>
        </w:rPr>
        <w:t>P.Q.M.</w:t>
      </w:r>
    </w:p>
    <w:p w:rsidR="00F6650A" w:rsidRPr="00175E80" w:rsidRDefault="00F6650A" w:rsidP="00175E80">
      <w:pPr>
        <w:pStyle w:val="popolo"/>
        <w:spacing w:before="0" w:beforeAutospacing="0" w:after="0" w:afterAutospacing="0"/>
        <w:jc w:val="both"/>
        <w:rPr>
          <w:color w:val="000000"/>
        </w:rPr>
      </w:pPr>
      <w:r w:rsidRPr="00175E80">
        <w:rPr>
          <w:color w:val="000000"/>
        </w:rPr>
        <w:t>Riuniti i ricorsi meglio indicati in oggetto, esprime il parere che essi debbano essere dichiarati inammissibili.</w:t>
      </w:r>
    </w:p>
    <w:p w:rsidR="00F6650A" w:rsidRPr="00175E80" w:rsidRDefault="00F6650A" w:rsidP="00175E80">
      <w:r w:rsidRPr="00175E80">
        <w:rPr>
          <w:color w:val="000000"/>
        </w:rPr>
        <w:br/>
      </w:r>
    </w:p>
    <w:tbl>
      <w:tblPr>
        <w:tblW w:w="5000" w:type="pct"/>
        <w:tblCellMar>
          <w:top w:w="15" w:type="dxa"/>
          <w:left w:w="15" w:type="dxa"/>
          <w:bottom w:w="15" w:type="dxa"/>
          <w:right w:w="15" w:type="dxa"/>
        </w:tblCellMar>
        <w:tblLook w:val="04A0"/>
      </w:tblPr>
      <w:tblGrid>
        <w:gridCol w:w="4251"/>
        <w:gridCol w:w="5328"/>
        <w:gridCol w:w="89"/>
      </w:tblGrid>
      <w:tr w:rsidR="00F6650A" w:rsidRPr="00175E80" w:rsidTr="00F6650A">
        <w:tc>
          <w:tcPr>
            <w:tcW w:w="0" w:type="auto"/>
            <w:vAlign w:val="center"/>
            <w:hideMark/>
          </w:tcPr>
          <w:p w:rsidR="00F6650A" w:rsidRPr="00175E80" w:rsidRDefault="00F6650A" w:rsidP="00175E80">
            <w:pPr>
              <w:jc w:val="center"/>
            </w:pPr>
            <w:r w:rsidRPr="00175E80">
              <w:t> </w:t>
            </w:r>
          </w:p>
        </w:tc>
        <w:tc>
          <w:tcPr>
            <w:tcW w:w="0" w:type="auto"/>
            <w:vAlign w:val="center"/>
            <w:hideMark/>
          </w:tcPr>
          <w:p w:rsidR="00F6650A" w:rsidRPr="00175E80" w:rsidRDefault="00F6650A" w:rsidP="00175E80">
            <w:pPr>
              <w:jc w:val="center"/>
            </w:pPr>
          </w:p>
        </w:tc>
        <w:tc>
          <w:tcPr>
            <w:tcW w:w="0" w:type="auto"/>
            <w:vAlign w:val="center"/>
            <w:hideMark/>
          </w:tcPr>
          <w:p w:rsidR="00F6650A" w:rsidRPr="00175E80" w:rsidRDefault="00F6650A" w:rsidP="00175E80">
            <w:pPr>
              <w:jc w:val="center"/>
            </w:pPr>
          </w:p>
        </w:tc>
      </w:tr>
      <w:tr w:rsidR="00F6650A" w:rsidRPr="00175E80" w:rsidTr="00F6650A">
        <w:tc>
          <w:tcPr>
            <w:tcW w:w="0" w:type="auto"/>
            <w:vAlign w:val="center"/>
            <w:hideMark/>
          </w:tcPr>
          <w:p w:rsidR="00F6650A" w:rsidRPr="00175E80" w:rsidRDefault="00F6650A" w:rsidP="00175E80">
            <w:pPr>
              <w:jc w:val="center"/>
            </w:pPr>
            <w:r w:rsidRPr="00175E80">
              <w:t>L'ESTENSORE</w:t>
            </w:r>
          </w:p>
        </w:tc>
        <w:tc>
          <w:tcPr>
            <w:tcW w:w="0" w:type="auto"/>
            <w:vAlign w:val="center"/>
            <w:hideMark/>
          </w:tcPr>
          <w:p w:rsidR="00F6650A" w:rsidRPr="00175E80" w:rsidRDefault="00F6650A" w:rsidP="00175E80">
            <w:pPr>
              <w:jc w:val="center"/>
            </w:pPr>
            <w:r w:rsidRPr="00175E80">
              <w:t>IL PRESIDENTE F/F</w:t>
            </w:r>
          </w:p>
        </w:tc>
        <w:tc>
          <w:tcPr>
            <w:tcW w:w="0" w:type="auto"/>
            <w:vAlign w:val="center"/>
            <w:hideMark/>
          </w:tcPr>
          <w:p w:rsidR="00F6650A" w:rsidRPr="00175E80" w:rsidRDefault="00F6650A" w:rsidP="00175E80"/>
        </w:tc>
      </w:tr>
      <w:tr w:rsidR="00F6650A" w:rsidRPr="00175E80" w:rsidTr="00F6650A">
        <w:tc>
          <w:tcPr>
            <w:tcW w:w="0" w:type="auto"/>
            <w:vAlign w:val="center"/>
            <w:hideMark/>
          </w:tcPr>
          <w:p w:rsidR="00F6650A" w:rsidRPr="00175E80" w:rsidRDefault="00F6650A" w:rsidP="00175E80">
            <w:pPr>
              <w:jc w:val="center"/>
            </w:pPr>
            <w:r w:rsidRPr="00175E80">
              <w:t>Francesca Quadri</w:t>
            </w:r>
          </w:p>
        </w:tc>
        <w:tc>
          <w:tcPr>
            <w:tcW w:w="0" w:type="auto"/>
            <w:vAlign w:val="center"/>
            <w:hideMark/>
          </w:tcPr>
          <w:p w:rsidR="00F6650A" w:rsidRPr="00175E80" w:rsidRDefault="00F6650A" w:rsidP="00175E80">
            <w:pPr>
              <w:jc w:val="center"/>
            </w:pPr>
            <w:r w:rsidRPr="00175E80">
              <w:t xml:space="preserve">Roberto </w:t>
            </w:r>
            <w:proofErr w:type="spellStart"/>
            <w:r w:rsidRPr="00175E80">
              <w:t>Garofoli</w:t>
            </w:r>
            <w:proofErr w:type="spellEnd"/>
          </w:p>
        </w:tc>
        <w:tc>
          <w:tcPr>
            <w:tcW w:w="0" w:type="auto"/>
            <w:vAlign w:val="center"/>
            <w:hideMark/>
          </w:tcPr>
          <w:p w:rsidR="00F6650A" w:rsidRPr="00175E80" w:rsidRDefault="00F6650A" w:rsidP="00175E80"/>
        </w:tc>
      </w:tr>
    </w:tbl>
    <w:p w:rsidR="00F6650A" w:rsidRPr="00175E80" w:rsidRDefault="00F6650A" w:rsidP="00175E80"/>
    <w:sectPr w:rsidR="00F6650A" w:rsidRPr="00175E80" w:rsidSect="002F54F4">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47E" w:rsidRDefault="00E1347E" w:rsidP="00175E80">
      <w:r>
        <w:separator/>
      </w:r>
    </w:p>
  </w:endnote>
  <w:endnote w:type="continuationSeparator" w:id="0">
    <w:p w:rsidR="00E1347E" w:rsidRDefault="00E1347E" w:rsidP="00175E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30973"/>
      <w:docPartObj>
        <w:docPartGallery w:val="Page Numbers (Bottom of Page)"/>
        <w:docPartUnique/>
      </w:docPartObj>
    </w:sdtPr>
    <w:sdtContent>
      <w:p w:rsidR="00175E80" w:rsidRDefault="00175E80">
        <w:pPr>
          <w:pStyle w:val="Pidipagina"/>
          <w:jc w:val="right"/>
        </w:pPr>
        <w:fldSimple w:instr=" PAGE   \* MERGEFORMAT ">
          <w:r>
            <w:rPr>
              <w:noProof/>
            </w:rPr>
            <w:t>1</w:t>
          </w:r>
        </w:fldSimple>
      </w:p>
    </w:sdtContent>
  </w:sdt>
  <w:p w:rsidR="00175E80" w:rsidRDefault="00175E8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47E" w:rsidRDefault="00E1347E" w:rsidP="00175E80">
      <w:r>
        <w:separator/>
      </w:r>
    </w:p>
  </w:footnote>
  <w:footnote w:type="continuationSeparator" w:id="0">
    <w:p w:rsidR="00E1347E" w:rsidRDefault="00E1347E" w:rsidP="00175E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F6650A"/>
    <w:rsid w:val="00000EC4"/>
    <w:rsid w:val="00001739"/>
    <w:rsid w:val="000105B9"/>
    <w:rsid w:val="00012FA9"/>
    <w:rsid w:val="00016BF0"/>
    <w:rsid w:val="000216EC"/>
    <w:rsid w:val="000217B5"/>
    <w:rsid w:val="0002265F"/>
    <w:rsid w:val="0002772D"/>
    <w:rsid w:val="00027A01"/>
    <w:rsid w:val="000330E2"/>
    <w:rsid w:val="00034CC2"/>
    <w:rsid w:val="00035554"/>
    <w:rsid w:val="00037761"/>
    <w:rsid w:val="00037900"/>
    <w:rsid w:val="00050D87"/>
    <w:rsid w:val="0005128F"/>
    <w:rsid w:val="0006411F"/>
    <w:rsid w:val="00064B43"/>
    <w:rsid w:val="00066D95"/>
    <w:rsid w:val="00066DE4"/>
    <w:rsid w:val="000744B7"/>
    <w:rsid w:val="00076466"/>
    <w:rsid w:val="00081720"/>
    <w:rsid w:val="00082749"/>
    <w:rsid w:val="00082D54"/>
    <w:rsid w:val="00083449"/>
    <w:rsid w:val="00085E6B"/>
    <w:rsid w:val="000A1B5F"/>
    <w:rsid w:val="000B1966"/>
    <w:rsid w:val="000B67D8"/>
    <w:rsid w:val="000B6DBA"/>
    <w:rsid w:val="000B78D9"/>
    <w:rsid w:val="000C0D13"/>
    <w:rsid w:val="000C6840"/>
    <w:rsid w:val="000C752A"/>
    <w:rsid w:val="000D05E5"/>
    <w:rsid w:val="000D3BFA"/>
    <w:rsid w:val="000D4ABE"/>
    <w:rsid w:val="000D55A3"/>
    <w:rsid w:val="000D7450"/>
    <w:rsid w:val="000E2121"/>
    <w:rsid w:val="000E6085"/>
    <w:rsid w:val="000F3D94"/>
    <w:rsid w:val="00114B48"/>
    <w:rsid w:val="001171A3"/>
    <w:rsid w:val="001206D8"/>
    <w:rsid w:val="00120A60"/>
    <w:rsid w:val="0012629C"/>
    <w:rsid w:val="00131B92"/>
    <w:rsid w:val="00133715"/>
    <w:rsid w:val="001364CA"/>
    <w:rsid w:val="00137F08"/>
    <w:rsid w:val="00141779"/>
    <w:rsid w:val="00147C8A"/>
    <w:rsid w:val="001555B7"/>
    <w:rsid w:val="00155761"/>
    <w:rsid w:val="00160419"/>
    <w:rsid w:val="00171D98"/>
    <w:rsid w:val="00175E80"/>
    <w:rsid w:val="001912A1"/>
    <w:rsid w:val="00196531"/>
    <w:rsid w:val="0019668B"/>
    <w:rsid w:val="001A2019"/>
    <w:rsid w:val="001A7DF4"/>
    <w:rsid w:val="001B1BC8"/>
    <w:rsid w:val="001B3B48"/>
    <w:rsid w:val="001B6E21"/>
    <w:rsid w:val="001C0D54"/>
    <w:rsid w:val="001C143A"/>
    <w:rsid w:val="001C6229"/>
    <w:rsid w:val="001C6EBF"/>
    <w:rsid w:val="001C7F1F"/>
    <w:rsid w:val="001D1972"/>
    <w:rsid w:val="001D2233"/>
    <w:rsid w:val="001D5EB7"/>
    <w:rsid w:val="001D61F1"/>
    <w:rsid w:val="001D61F5"/>
    <w:rsid w:val="001D68C6"/>
    <w:rsid w:val="001E2FC5"/>
    <w:rsid w:val="001E563D"/>
    <w:rsid w:val="001E730F"/>
    <w:rsid w:val="001E7E14"/>
    <w:rsid w:val="001F3E2B"/>
    <w:rsid w:val="002042C2"/>
    <w:rsid w:val="0020755F"/>
    <w:rsid w:val="00212A91"/>
    <w:rsid w:val="002149C2"/>
    <w:rsid w:val="00221BD4"/>
    <w:rsid w:val="0022502D"/>
    <w:rsid w:val="00227878"/>
    <w:rsid w:val="00230C20"/>
    <w:rsid w:val="002314AF"/>
    <w:rsid w:val="0023196E"/>
    <w:rsid w:val="002365A6"/>
    <w:rsid w:val="00236844"/>
    <w:rsid w:val="00252B99"/>
    <w:rsid w:val="00253FEF"/>
    <w:rsid w:val="0025561C"/>
    <w:rsid w:val="00255E7C"/>
    <w:rsid w:val="00256298"/>
    <w:rsid w:val="00256E3E"/>
    <w:rsid w:val="00257284"/>
    <w:rsid w:val="00264F78"/>
    <w:rsid w:val="002656A2"/>
    <w:rsid w:val="0026738C"/>
    <w:rsid w:val="002734AA"/>
    <w:rsid w:val="002741BE"/>
    <w:rsid w:val="00274E6A"/>
    <w:rsid w:val="0028027B"/>
    <w:rsid w:val="002844FA"/>
    <w:rsid w:val="00284A79"/>
    <w:rsid w:val="00286AD3"/>
    <w:rsid w:val="00286C76"/>
    <w:rsid w:val="00290709"/>
    <w:rsid w:val="002918BC"/>
    <w:rsid w:val="002A1D58"/>
    <w:rsid w:val="002A4082"/>
    <w:rsid w:val="002A5775"/>
    <w:rsid w:val="002B1497"/>
    <w:rsid w:val="002B33EB"/>
    <w:rsid w:val="002C059A"/>
    <w:rsid w:val="002C0701"/>
    <w:rsid w:val="002D1546"/>
    <w:rsid w:val="002D630A"/>
    <w:rsid w:val="002E2443"/>
    <w:rsid w:val="002E4E63"/>
    <w:rsid w:val="002F00EA"/>
    <w:rsid w:val="002F28FA"/>
    <w:rsid w:val="002F54F4"/>
    <w:rsid w:val="003038A8"/>
    <w:rsid w:val="00303A8B"/>
    <w:rsid w:val="00305144"/>
    <w:rsid w:val="00306361"/>
    <w:rsid w:val="003068A4"/>
    <w:rsid w:val="00307C9F"/>
    <w:rsid w:val="003117C2"/>
    <w:rsid w:val="0032164A"/>
    <w:rsid w:val="00322EED"/>
    <w:rsid w:val="00326BD3"/>
    <w:rsid w:val="00327EDA"/>
    <w:rsid w:val="0033120A"/>
    <w:rsid w:val="003338C4"/>
    <w:rsid w:val="003340C3"/>
    <w:rsid w:val="003423C0"/>
    <w:rsid w:val="0034292B"/>
    <w:rsid w:val="00345ED3"/>
    <w:rsid w:val="003470B8"/>
    <w:rsid w:val="003536DA"/>
    <w:rsid w:val="00356BAD"/>
    <w:rsid w:val="0035720E"/>
    <w:rsid w:val="003745B9"/>
    <w:rsid w:val="00384A32"/>
    <w:rsid w:val="00387064"/>
    <w:rsid w:val="00387482"/>
    <w:rsid w:val="0039518B"/>
    <w:rsid w:val="003A2ABB"/>
    <w:rsid w:val="003B4B35"/>
    <w:rsid w:val="003B5DFE"/>
    <w:rsid w:val="003C1E6F"/>
    <w:rsid w:val="003C2BE2"/>
    <w:rsid w:val="003C3C55"/>
    <w:rsid w:val="003C6753"/>
    <w:rsid w:val="003C6AE1"/>
    <w:rsid w:val="003D58A0"/>
    <w:rsid w:val="003D62B2"/>
    <w:rsid w:val="003E0D48"/>
    <w:rsid w:val="003E24A6"/>
    <w:rsid w:val="003E2FFA"/>
    <w:rsid w:val="003E3B5E"/>
    <w:rsid w:val="003F1B74"/>
    <w:rsid w:val="003F1D76"/>
    <w:rsid w:val="003F3CB4"/>
    <w:rsid w:val="003F43DB"/>
    <w:rsid w:val="00400D2B"/>
    <w:rsid w:val="0041194A"/>
    <w:rsid w:val="00412EE5"/>
    <w:rsid w:val="00415945"/>
    <w:rsid w:val="00422A24"/>
    <w:rsid w:val="00422B0C"/>
    <w:rsid w:val="00431AE7"/>
    <w:rsid w:val="00433892"/>
    <w:rsid w:val="00434E3D"/>
    <w:rsid w:val="00435369"/>
    <w:rsid w:val="00440533"/>
    <w:rsid w:val="004444ED"/>
    <w:rsid w:val="00450A4E"/>
    <w:rsid w:val="00453229"/>
    <w:rsid w:val="0045573E"/>
    <w:rsid w:val="004602B8"/>
    <w:rsid w:val="00467DC3"/>
    <w:rsid w:val="00473710"/>
    <w:rsid w:val="004738C8"/>
    <w:rsid w:val="00476C28"/>
    <w:rsid w:val="00477F16"/>
    <w:rsid w:val="00490F70"/>
    <w:rsid w:val="00491F15"/>
    <w:rsid w:val="00495685"/>
    <w:rsid w:val="004A003C"/>
    <w:rsid w:val="004A183A"/>
    <w:rsid w:val="004A6566"/>
    <w:rsid w:val="004A74C1"/>
    <w:rsid w:val="004A782B"/>
    <w:rsid w:val="004B1D09"/>
    <w:rsid w:val="004B27AC"/>
    <w:rsid w:val="004C08DC"/>
    <w:rsid w:val="004D46C3"/>
    <w:rsid w:val="004D586F"/>
    <w:rsid w:val="004E0696"/>
    <w:rsid w:val="004E1A54"/>
    <w:rsid w:val="004E3886"/>
    <w:rsid w:val="004E7BF6"/>
    <w:rsid w:val="004F0713"/>
    <w:rsid w:val="004F21A8"/>
    <w:rsid w:val="004F408D"/>
    <w:rsid w:val="004F62DC"/>
    <w:rsid w:val="00503BB9"/>
    <w:rsid w:val="00505913"/>
    <w:rsid w:val="00512AC6"/>
    <w:rsid w:val="0051658C"/>
    <w:rsid w:val="0051686D"/>
    <w:rsid w:val="00516D84"/>
    <w:rsid w:val="00521B9F"/>
    <w:rsid w:val="0052377A"/>
    <w:rsid w:val="00523C2B"/>
    <w:rsid w:val="00531697"/>
    <w:rsid w:val="00532502"/>
    <w:rsid w:val="00535612"/>
    <w:rsid w:val="005369BB"/>
    <w:rsid w:val="0054430F"/>
    <w:rsid w:val="00545DD0"/>
    <w:rsid w:val="00550813"/>
    <w:rsid w:val="00551BFA"/>
    <w:rsid w:val="00551C2A"/>
    <w:rsid w:val="005547A7"/>
    <w:rsid w:val="00554BDC"/>
    <w:rsid w:val="00561492"/>
    <w:rsid w:val="00563A4F"/>
    <w:rsid w:val="00574733"/>
    <w:rsid w:val="00575E97"/>
    <w:rsid w:val="00577F4C"/>
    <w:rsid w:val="005902B6"/>
    <w:rsid w:val="005931DC"/>
    <w:rsid w:val="0059429B"/>
    <w:rsid w:val="00594C57"/>
    <w:rsid w:val="00595756"/>
    <w:rsid w:val="005958C5"/>
    <w:rsid w:val="00597692"/>
    <w:rsid w:val="00597929"/>
    <w:rsid w:val="005B223E"/>
    <w:rsid w:val="005B4CDA"/>
    <w:rsid w:val="005C0F7A"/>
    <w:rsid w:val="005C5317"/>
    <w:rsid w:val="005C5AC9"/>
    <w:rsid w:val="005C6140"/>
    <w:rsid w:val="005C7E13"/>
    <w:rsid w:val="005D0CB8"/>
    <w:rsid w:val="005D36A4"/>
    <w:rsid w:val="005E3CA6"/>
    <w:rsid w:val="005E58A7"/>
    <w:rsid w:val="005F3988"/>
    <w:rsid w:val="005F71CD"/>
    <w:rsid w:val="006005D5"/>
    <w:rsid w:val="00605FE4"/>
    <w:rsid w:val="00606B87"/>
    <w:rsid w:val="006073DB"/>
    <w:rsid w:val="00607849"/>
    <w:rsid w:val="0061084A"/>
    <w:rsid w:val="006141F8"/>
    <w:rsid w:val="00614814"/>
    <w:rsid w:val="006231F1"/>
    <w:rsid w:val="00627A12"/>
    <w:rsid w:val="0063104D"/>
    <w:rsid w:val="00633867"/>
    <w:rsid w:val="00634D12"/>
    <w:rsid w:val="00636B0B"/>
    <w:rsid w:val="00643AAB"/>
    <w:rsid w:val="00643E88"/>
    <w:rsid w:val="00655BD0"/>
    <w:rsid w:val="00660AC6"/>
    <w:rsid w:val="00661C18"/>
    <w:rsid w:val="00662DC7"/>
    <w:rsid w:val="006645C6"/>
    <w:rsid w:val="00665B3E"/>
    <w:rsid w:val="006701E6"/>
    <w:rsid w:val="00671CEB"/>
    <w:rsid w:val="0067323D"/>
    <w:rsid w:val="00674E68"/>
    <w:rsid w:val="0068463B"/>
    <w:rsid w:val="00685279"/>
    <w:rsid w:val="00686531"/>
    <w:rsid w:val="00686EB7"/>
    <w:rsid w:val="00687D25"/>
    <w:rsid w:val="00690174"/>
    <w:rsid w:val="006912C1"/>
    <w:rsid w:val="006934FA"/>
    <w:rsid w:val="00697A66"/>
    <w:rsid w:val="00697B50"/>
    <w:rsid w:val="006A115B"/>
    <w:rsid w:val="006A2BDB"/>
    <w:rsid w:val="006A37D0"/>
    <w:rsid w:val="006A4EBD"/>
    <w:rsid w:val="006A517C"/>
    <w:rsid w:val="006A5DBB"/>
    <w:rsid w:val="006B1C50"/>
    <w:rsid w:val="006B5183"/>
    <w:rsid w:val="006B7C0E"/>
    <w:rsid w:val="006B7F4E"/>
    <w:rsid w:val="006C28BB"/>
    <w:rsid w:val="006C6FE0"/>
    <w:rsid w:val="006D03BD"/>
    <w:rsid w:val="006D12CF"/>
    <w:rsid w:val="006D3037"/>
    <w:rsid w:val="006D5173"/>
    <w:rsid w:val="006D6F0E"/>
    <w:rsid w:val="006E060A"/>
    <w:rsid w:val="006E370E"/>
    <w:rsid w:val="006E3C5A"/>
    <w:rsid w:val="006F066C"/>
    <w:rsid w:val="006F58E6"/>
    <w:rsid w:val="00705CB0"/>
    <w:rsid w:val="007066FC"/>
    <w:rsid w:val="00707972"/>
    <w:rsid w:val="00715534"/>
    <w:rsid w:val="00722018"/>
    <w:rsid w:val="0072203F"/>
    <w:rsid w:val="00722109"/>
    <w:rsid w:val="0072224B"/>
    <w:rsid w:val="00723309"/>
    <w:rsid w:val="00726F1A"/>
    <w:rsid w:val="0072750C"/>
    <w:rsid w:val="007322E2"/>
    <w:rsid w:val="00743F97"/>
    <w:rsid w:val="00745C1C"/>
    <w:rsid w:val="00747BF2"/>
    <w:rsid w:val="00751943"/>
    <w:rsid w:val="0075725E"/>
    <w:rsid w:val="00757DDB"/>
    <w:rsid w:val="00772B29"/>
    <w:rsid w:val="0077363C"/>
    <w:rsid w:val="00773836"/>
    <w:rsid w:val="00786CFC"/>
    <w:rsid w:val="007917A8"/>
    <w:rsid w:val="00793783"/>
    <w:rsid w:val="007943E8"/>
    <w:rsid w:val="007952D6"/>
    <w:rsid w:val="007958A9"/>
    <w:rsid w:val="007A332B"/>
    <w:rsid w:val="007A52BA"/>
    <w:rsid w:val="007A5B9B"/>
    <w:rsid w:val="007B7A75"/>
    <w:rsid w:val="007C7CB4"/>
    <w:rsid w:val="007D10D3"/>
    <w:rsid w:val="007D2FA1"/>
    <w:rsid w:val="007D6E01"/>
    <w:rsid w:val="007D726D"/>
    <w:rsid w:val="007E264F"/>
    <w:rsid w:val="007F4A58"/>
    <w:rsid w:val="007F70A0"/>
    <w:rsid w:val="00804D1D"/>
    <w:rsid w:val="00806398"/>
    <w:rsid w:val="00815DD9"/>
    <w:rsid w:val="008224CC"/>
    <w:rsid w:val="00823807"/>
    <w:rsid w:val="0083055C"/>
    <w:rsid w:val="0084012C"/>
    <w:rsid w:val="00841271"/>
    <w:rsid w:val="00841954"/>
    <w:rsid w:val="00843D77"/>
    <w:rsid w:val="00845241"/>
    <w:rsid w:val="008562C1"/>
    <w:rsid w:val="008566F1"/>
    <w:rsid w:val="0085756D"/>
    <w:rsid w:val="008723FB"/>
    <w:rsid w:val="0087511A"/>
    <w:rsid w:val="00875188"/>
    <w:rsid w:val="00880579"/>
    <w:rsid w:val="008866B2"/>
    <w:rsid w:val="00895576"/>
    <w:rsid w:val="008A172C"/>
    <w:rsid w:val="008A5FDB"/>
    <w:rsid w:val="008B1151"/>
    <w:rsid w:val="008B18E8"/>
    <w:rsid w:val="008B3772"/>
    <w:rsid w:val="008B4056"/>
    <w:rsid w:val="008C3F1D"/>
    <w:rsid w:val="008C4207"/>
    <w:rsid w:val="008C7CDC"/>
    <w:rsid w:val="008E27DF"/>
    <w:rsid w:val="008E544C"/>
    <w:rsid w:val="008E7D95"/>
    <w:rsid w:val="008F171D"/>
    <w:rsid w:val="008F2FEF"/>
    <w:rsid w:val="008F4678"/>
    <w:rsid w:val="009061C5"/>
    <w:rsid w:val="00913473"/>
    <w:rsid w:val="00922B12"/>
    <w:rsid w:val="009236B7"/>
    <w:rsid w:val="0092521A"/>
    <w:rsid w:val="00942652"/>
    <w:rsid w:val="009477C1"/>
    <w:rsid w:val="00954FD4"/>
    <w:rsid w:val="00961BF8"/>
    <w:rsid w:val="00962FCB"/>
    <w:rsid w:val="00982301"/>
    <w:rsid w:val="00982502"/>
    <w:rsid w:val="0098703A"/>
    <w:rsid w:val="00990F95"/>
    <w:rsid w:val="00994676"/>
    <w:rsid w:val="009961CF"/>
    <w:rsid w:val="0099759E"/>
    <w:rsid w:val="009A0C1D"/>
    <w:rsid w:val="009A12D8"/>
    <w:rsid w:val="009A2AEB"/>
    <w:rsid w:val="009A33C6"/>
    <w:rsid w:val="009A6B8A"/>
    <w:rsid w:val="009B63B1"/>
    <w:rsid w:val="009C21F3"/>
    <w:rsid w:val="009C3A74"/>
    <w:rsid w:val="009C500D"/>
    <w:rsid w:val="009C506E"/>
    <w:rsid w:val="009C5AFE"/>
    <w:rsid w:val="009D2441"/>
    <w:rsid w:val="009D4C82"/>
    <w:rsid w:val="009E17A3"/>
    <w:rsid w:val="009E4019"/>
    <w:rsid w:val="009E436A"/>
    <w:rsid w:val="009E718C"/>
    <w:rsid w:val="009F06C2"/>
    <w:rsid w:val="009F3154"/>
    <w:rsid w:val="009F7107"/>
    <w:rsid w:val="00A00149"/>
    <w:rsid w:val="00A02F3F"/>
    <w:rsid w:val="00A06C57"/>
    <w:rsid w:val="00A23052"/>
    <w:rsid w:val="00A24EFC"/>
    <w:rsid w:val="00A25063"/>
    <w:rsid w:val="00A2752A"/>
    <w:rsid w:val="00A34736"/>
    <w:rsid w:val="00A362F6"/>
    <w:rsid w:val="00A3668D"/>
    <w:rsid w:val="00A414EC"/>
    <w:rsid w:val="00A43F23"/>
    <w:rsid w:val="00A4754C"/>
    <w:rsid w:val="00A56A21"/>
    <w:rsid w:val="00A5715A"/>
    <w:rsid w:val="00A60103"/>
    <w:rsid w:val="00A621AC"/>
    <w:rsid w:val="00A65FFA"/>
    <w:rsid w:val="00A83419"/>
    <w:rsid w:val="00A83D74"/>
    <w:rsid w:val="00A858E9"/>
    <w:rsid w:val="00A9222D"/>
    <w:rsid w:val="00A925EA"/>
    <w:rsid w:val="00A930FB"/>
    <w:rsid w:val="00A97B7B"/>
    <w:rsid w:val="00AA3D6F"/>
    <w:rsid w:val="00AA6A5E"/>
    <w:rsid w:val="00AA7383"/>
    <w:rsid w:val="00AA7819"/>
    <w:rsid w:val="00AB18EC"/>
    <w:rsid w:val="00AB3A67"/>
    <w:rsid w:val="00AB3B6F"/>
    <w:rsid w:val="00AB5A45"/>
    <w:rsid w:val="00AB7BAE"/>
    <w:rsid w:val="00AC041B"/>
    <w:rsid w:val="00AC219B"/>
    <w:rsid w:val="00AC3A05"/>
    <w:rsid w:val="00AD05BE"/>
    <w:rsid w:val="00AD309A"/>
    <w:rsid w:val="00AD3153"/>
    <w:rsid w:val="00AD4F36"/>
    <w:rsid w:val="00AE22BC"/>
    <w:rsid w:val="00AE2E6A"/>
    <w:rsid w:val="00AE312A"/>
    <w:rsid w:val="00AE72DF"/>
    <w:rsid w:val="00AE7B4B"/>
    <w:rsid w:val="00AF0B35"/>
    <w:rsid w:val="00AF17D9"/>
    <w:rsid w:val="00AF7479"/>
    <w:rsid w:val="00B00356"/>
    <w:rsid w:val="00B0330F"/>
    <w:rsid w:val="00B04F93"/>
    <w:rsid w:val="00B11339"/>
    <w:rsid w:val="00B12CC5"/>
    <w:rsid w:val="00B16C8A"/>
    <w:rsid w:val="00B21A00"/>
    <w:rsid w:val="00B22F25"/>
    <w:rsid w:val="00B25E0A"/>
    <w:rsid w:val="00B26044"/>
    <w:rsid w:val="00B33F53"/>
    <w:rsid w:val="00B36D84"/>
    <w:rsid w:val="00B410BE"/>
    <w:rsid w:val="00B42977"/>
    <w:rsid w:val="00B436B8"/>
    <w:rsid w:val="00B473F9"/>
    <w:rsid w:val="00B62A3D"/>
    <w:rsid w:val="00B62CCC"/>
    <w:rsid w:val="00B63F4C"/>
    <w:rsid w:val="00B6539D"/>
    <w:rsid w:val="00B70B90"/>
    <w:rsid w:val="00B70C33"/>
    <w:rsid w:val="00B70DAA"/>
    <w:rsid w:val="00B73787"/>
    <w:rsid w:val="00B74297"/>
    <w:rsid w:val="00B75395"/>
    <w:rsid w:val="00B763A3"/>
    <w:rsid w:val="00B77B6B"/>
    <w:rsid w:val="00B94A1E"/>
    <w:rsid w:val="00B97DDB"/>
    <w:rsid w:val="00BA34BE"/>
    <w:rsid w:val="00BA3F86"/>
    <w:rsid w:val="00BB7888"/>
    <w:rsid w:val="00BD1FAE"/>
    <w:rsid w:val="00BD31E5"/>
    <w:rsid w:val="00BD4F18"/>
    <w:rsid w:val="00BE25BA"/>
    <w:rsid w:val="00BE4A2A"/>
    <w:rsid w:val="00BE4A35"/>
    <w:rsid w:val="00C0065D"/>
    <w:rsid w:val="00C01BAA"/>
    <w:rsid w:val="00C02E34"/>
    <w:rsid w:val="00C0536C"/>
    <w:rsid w:val="00C12200"/>
    <w:rsid w:val="00C13CC6"/>
    <w:rsid w:val="00C14ADB"/>
    <w:rsid w:val="00C16646"/>
    <w:rsid w:val="00C2128B"/>
    <w:rsid w:val="00C22ED9"/>
    <w:rsid w:val="00C234A0"/>
    <w:rsid w:val="00C2429B"/>
    <w:rsid w:val="00C255B0"/>
    <w:rsid w:val="00C30747"/>
    <w:rsid w:val="00C337A1"/>
    <w:rsid w:val="00C37239"/>
    <w:rsid w:val="00C4380F"/>
    <w:rsid w:val="00C53C09"/>
    <w:rsid w:val="00C559D9"/>
    <w:rsid w:val="00C55E24"/>
    <w:rsid w:val="00C56118"/>
    <w:rsid w:val="00C57303"/>
    <w:rsid w:val="00C606B5"/>
    <w:rsid w:val="00C627BC"/>
    <w:rsid w:val="00C66A80"/>
    <w:rsid w:val="00C704BA"/>
    <w:rsid w:val="00C706F1"/>
    <w:rsid w:val="00C735A7"/>
    <w:rsid w:val="00C74D3B"/>
    <w:rsid w:val="00C8794B"/>
    <w:rsid w:val="00CA263D"/>
    <w:rsid w:val="00CA4876"/>
    <w:rsid w:val="00CB14E6"/>
    <w:rsid w:val="00CB1735"/>
    <w:rsid w:val="00CC62E2"/>
    <w:rsid w:val="00CD1DCD"/>
    <w:rsid w:val="00CD7077"/>
    <w:rsid w:val="00CF063C"/>
    <w:rsid w:val="00CF0A03"/>
    <w:rsid w:val="00CF1DF1"/>
    <w:rsid w:val="00CF57CA"/>
    <w:rsid w:val="00D07DFE"/>
    <w:rsid w:val="00D12365"/>
    <w:rsid w:val="00D13094"/>
    <w:rsid w:val="00D23334"/>
    <w:rsid w:val="00D233E8"/>
    <w:rsid w:val="00D26709"/>
    <w:rsid w:val="00D34346"/>
    <w:rsid w:val="00D355F4"/>
    <w:rsid w:val="00D3601B"/>
    <w:rsid w:val="00D43088"/>
    <w:rsid w:val="00D502FA"/>
    <w:rsid w:val="00D50DBB"/>
    <w:rsid w:val="00D518BA"/>
    <w:rsid w:val="00D60B0D"/>
    <w:rsid w:val="00D62780"/>
    <w:rsid w:val="00D71763"/>
    <w:rsid w:val="00D73FDA"/>
    <w:rsid w:val="00D77731"/>
    <w:rsid w:val="00D77D7B"/>
    <w:rsid w:val="00D77F3A"/>
    <w:rsid w:val="00D82570"/>
    <w:rsid w:val="00D8399F"/>
    <w:rsid w:val="00D85418"/>
    <w:rsid w:val="00D942A8"/>
    <w:rsid w:val="00D9696B"/>
    <w:rsid w:val="00DA067B"/>
    <w:rsid w:val="00DA1605"/>
    <w:rsid w:val="00DA3D8B"/>
    <w:rsid w:val="00DA3FDE"/>
    <w:rsid w:val="00DB3CBB"/>
    <w:rsid w:val="00DC165E"/>
    <w:rsid w:val="00DC5C57"/>
    <w:rsid w:val="00DC6123"/>
    <w:rsid w:val="00DC6E97"/>
    <w:rsid w:val="00DC7705"/>
    <w:rsid w:val="00DD061A"/>
    <w:rsid w:val="00DD392E"/>
    <w:rsid w:val="00DD798F"/>
    <w:rsid w:val="00DE0493"/>
    <w:rsid w:val="00DE0916"/>
    <w:rsid w:val="00DE0DBB"/>
    <w:rsid w:val="00DF41A8"/>
    <w:rsid w:val="00DF4C42"/>
    <w:rsid w:val="00E020DA"/>
    <w:rsid w:val="00E056C0"/>
    <w:rsid w:val="00E1347E"/>
    <w:rsid w:val="00E13AA7"/>
    <w:rsid w:val="00E14DFE"/>
    <w:rsid w:val="00E235E4"/>
    <w:rsid w:val="00E2728D"/>
    <w:rsid w:val="00E30F76"/>
    <w:rsid w:val="00E40AEB"/>
    <w:rsid w:val="00E55503"/>
    <w:rsid w:val="00E61C4F"/>
    <w:rsid w:val="00E7649B"/>
    <w:rsid w:val="00E76999"/>
    <w:rsid w:val="00E83A7B"/>
    <w:rsid w:val="00E83A91"/>
    <w:rsid w:val="00E842C4"/>
    <w:rsid w:val="00E84DEF"/>
    <w:rsid w:val="00E85E84"/>
    <w:rsid w:val="00EA2FD7"/>
    <w:rsid w:val="00EA495E"/>
    <w:rsid w:val="00EA7019"/>
    <w:rsid w:val="00EB2878"/>
    <w:rsid w:val="00EB52E3"/>
    <w:rsid w:val="00ED10E2"/>
    <w:rsid w:val="00ED590D"/>
    <w:rsid w:val="00EE21CE"/>
    <w:rsid w:val="00EE4D4C"/>
    <w:rsid w:val="00EE5D82"/>
    <w:rsid w:val="00EF06B5"/>
    <w:rsid w:val="00EF1FCD"/>
    <w:rsid w:val="00F0345F"/>
    <w:rsid w:val="00F15586"/>
    <w:rsid w:val="00F21EEB"/>
    <w:rsid w:val="00F25934"/>
    <w:rsid w:val="00F266F7"/>
    <w:rsid w:val="00F276B8"/>
    <w:rsid w:val="00F2797D"/>
    <w:rsid w:val="00F3074E"/>
    <w:rsid w:val="00F31A68"/>
    <w:rsid w:val="00F31DF1"/>
    <w:rsid w:val="00F32E78"/>
    <w:rsid w:val="00F33733"/>
    <w:rsid w:val="00F37E29"/>
    <w:rsid w:val="00F417DA"/>
    <w:rsid w:val="00F47FD9"/>
    <w:rsid w:val="00F56770"/>
    <w:rsid w:val="00F5764E"/>
    <w:rsid w:val="00F64EBB"/>
    <w:rsid w:val="00F64FAB"/>
    <w:rsid w:val="00F65B21"/>
    <w:rsid w:val="00F6650A"/>
    <w:rsid w:val="00F70743"/>
    <w:rsid w:val="00F7136D"/>
    <w:rsid w:val="00F72DA5"/>
    <w:rsid w:val="00F75A79"/>
    <w:rsid w:val="00F8002C"/>
    <w:rsid w:val="00F804DE"/>
    <w:rsid w:val="00F80FD7"/>
    <w:rsid w:val="00F81D65"/>
    <w:rsid w:val="00F82C8F"/>
    <w:rsid w:val="00F83C23"/>
    <w:rsid w:val="00F86BFE"/>
    <w:rsid w:val="00F86E80"/>
    <w:rsid w:val="00F87359"/>
    <w:rsid w:val="00F9336B"/>
    <w:rsid w:val="00FA2F9E"/>
    <w:rsid w:val="00FA3C5D"/>
    <w:rsid w:val="00FB3AD6"/>
    <w:rsid w:val="00FB6447"/>
    <w:rsid w:val="00FB66A1"/>
    <w:rsid w:val="00FC18BD"/>
    <w:rsid w:val="00FC2BAC"/>
    <w:rsid w:val="00FC4890"/>
    <w:rsid w:val="00FD6404"/>
    <w:rsid w:val="00FE2FBE"/>
    <w:rsid w:val="00FF01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650A"/>
    <w:rPr>
      <w:rFonts w:eastAsia="Times New Roman"/>
      <w:sz w:val="24"/>
      <w:szCs w:val="24"/>
    </w:rPr>
  </w:style>
  <w:style w:type="paragraph" w:styleId="Titolo1">
    <w:name w:val="heading 1"/>
    <w:basedOn w:val="Normale"/>
    <w:next w:val="Normale"/>
    <w:link w:val="Titolo1Carattere"/>
    <w:autoRedefine/>
    <w:qFormat/>
    <w:rsid w:val="00550813"/>
    <w:pPr>
      <w:keepNext/>
      <w:spacing w:before="240" w:after="60"/>
      <w:outlineLvl w:val="0"/>
    </w:pPr>
    <w:rPr>
      <w:rFonts w:ascii="Cambria" w:hAnsi="Cambria"/>
      <w:b/>
      <w:bCs/>
      <w:kern w:val="32"/>
      <w:szCs w:val="32"/>
    </w:rPr>
  </w:style>
  <w:style w:type="paragraph" w:styleId="Titolo2">
    <w:name w:val="heading 2"/>
    <w:basedOn w:val="Normale"/>
    <w:next w:val="Normale"/>
    <w:link w:val="Titolo2Carattere"/>
    <w:autoRedefine/>
    <w:qFormat/>
    <w:rsid w:val="00550813"/>
    <w:pPr>
      <w:keepNext/>
      <w:outlineLvl w:val="1"/>
    </w:pPr>
    <w:rPr>
      <w:rFonts w:ascii="Palatino Linotype" w:hAnsi="Palatino Linotype"/>
      <w:b/>
      <w:bCs/>
      <w:i/>
      <w:sz w:val="23"/>
    </w:rPr>
  </w:style>
  <w:style w:type="paragraph" w:styleId="Titolo3">
    <w:name w:val="heading 3"/>
    <w:basedOn w:val="Normale"/>
    <w:next w:val="Normale"/>
    <w:link w:val="Titolo3Carattere"/>
    <w:autoRedefine/>
    <w:uiPriority w:val="9"/>
    <w:qFormat/>
    <w:rsid w:val="00550813"/>
    <w:pPr>
      <w:keepNext/>
      <w:keepLines/>
      <w:spacing w:before="200"/>
      <w:outlineLvl w:val="2"/>
    </w:pPr>
    <w:rPr>
      <w:rFonts w:ascii="Arabic Typesetting" w:hAnsi="Arabic Typesetting"/>
      <w:b/>
      <w:bCs/>
      <w:color w:val="000000"/>
      <w:sz w:val="34"/>
      <w:szCs w:val="3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50813"/>
    <w:rPr>
      <w:rFonts w:ascii="Cambria" w:eastAsia="Times New Roman" w:hAnsi="Cambria"/>
      <w:b/>
      <w:bCs/>
      <w:kern w:val="32"/>
      <w:sz w:val="24"/>
      <w:szCs w:val="32"/>
    </w:rPr>
  </w:style>
  <w:style w:type="character" w:styleId="Enfasigrassetto">
    <w:name w:val="Strong"/>
    <w:uiPriority w:val="22"/>
    <w:qFormat/>
    <w:rsid w:val="00550813"/>
    <w:rPr>
      <w:b/>
      <w:bCs/>
    </w:rPr>
  </w:style>
  <w:style w:type="paragraph" w:styleId="Paragrafoelenco">
    <w:name w:val="List Paragraph"/>
    <w:basedOn w:val="Normale"/>
    <w:uiPriority w:val="34"/>
    <w:qFormat/>
    <w:rsid w:val="00550813"/>
    <w:pPr>
      <w:ind w:left="708"/>
    </w:pPr>
  </w:style>
  <w:style w:type="character" w:customStyle="1" w:styleId="Titolo2Carattere">
    <w:name w:val="Titolo 2 Carattere"/>
    <w:link w:val="Titolo2"/>
    <w:rsid w:val="00550813"/>
    <w:rPr>
      <w:rFonts w:ascii="Palatino Linotype" w:eastAsia="Times New Roman" w:hAnsi="Palatino Linotype"/>
      <w:b/>
      <w:bCs/>
      <w:i/>
      <w:sz w:val="23"/>
      <w:szCs w:val="24"/>
    </w:rPr>
  </w:style>
  <w:style w:type="character" w:customStyle="1" w:styleId="Titolo3Carattere">
    <w:name w:val="Titolo 3 Carattere"/>
    <w:link w:val="Titolo3"/>
    <w:uiPriority w:val="9"/>
    <w:rsid w:val="00550813"/>
    <w:rPr>
      <w:rFonts w:ascii="Arabic Typesetting" w:eastAsia="Times New Roman" w:hAnsi="Arabic Typesetting" w:cs="Arabic Typesetting"/>
      <w:b/>
      <w:bCs/>
      <w:color w:val="000000"/>
      <w:sz w:val="34"/>
      <w:szCs w:val="34"/>
    </w:rPr>
  </w:style>
  <w:style w:type="paragraph" w:customStyle="1" w:styleId="Paragrafoelenco1">
    <w:name w:val="Paragrafo elenco1"/>
    <w:basedOn w:val="Normale"/>
    <w:uiPriority w:val="34"/>
    <w:qFormat/>
    <w:rsid w:val="00550813"/>
    <w:pPr>
      <w:ind w:left="708"/>
    </w:pPr>
  </w:style>
  <w:style w:type="paragraph" w:customStyle="1" w:styleId="Descrizione">
    <w:name w:val="Descrizione"/>
    <w:basedOn w:val="Normale"/>
    <w:link w:val="DescrizioneCarattere"/>
    <w:qFormat/>
    <w:rsid w:val="00550813"/>
    <w:pPr>
      <w:ind w:firstLine="709"/>
    </w:pPr>
    <w:rPr>
      <w:rFonts w:ascii="Century" w:hAnsi="Century"/>
      <w:sz w:val="22"/>
      <w:szCs w:val="22"/>
    </w:rPr>
  </w:style>
  <w:style w:type="character" w:customStyle="1" w:styleId="DescrizioneCarattere">
    <w:name w:val="Descrizione Carattere"/>
    <w:link w:val="Descrizione"/>
    <w:rsid w:val="00550813"/>
    <w:rPr>
      <w:rFonts w:ascii="Century" w:eastAsia="Times New Roman" w:hAnsi="Century"/>
      <w:sz w:val="22"/>
      <w:szCs w:val="22"/>
    </w:rPr>
  </w:style>
  <w:style w:type="paragraph" w:styleId="Sommario1">
    <w:name w:val="toc 1"/>
    <w:basedOn w:val="Normale"/>
    <w:next w:val="Normale"/>
    <w:autoRedefine/>
    <w:uiPriority w:val="39"/>
    <w:unhideWhenUsed/>
    <w:rsid w:val="007D2FA1"/>
    <w:pPr>
      <w:spacing w:before="100" w:beforeAutospacing="1" w:after="100" w:afterAutospacing="1"/>
    </w:pPr>
  </w:style>
  <w:style w:type="paragraph" w:customStyle="1" w:styleId="repubblica">
    <w:name w:val="repubblica"/>
    <w:basedOn w:val="Normale"/>
    <w:rsid w:val="00F6650A"/>
    <w:pPr>
      <w:spacing w:before="100" w:beforeAutospacing="1" w:after="100" w:afterAutospacing="1"/>
    </w:pPr>
  </w:style>
  <w:style w:type="paragraph" w:customStyle="1" w:styleId="sezionegrande">
    <w:name w:val="sezionegrande"/>
    <w:basedOn w:val="Normale"/>
    <w:rsid w:val="00F6650A"/>
    <w:pPr>
      <w:spacing w:before="100" w:beforeAutospacing="1" w:after="100" w:afterAutospacing="1"/>
    </w:pPr>
  </w:style>
  <w:style w:type="paragraph" w:customStyle="1" w:styleId="sezione">
    <w:name w:val="sezione"/>
    <w:basedOn w:val="Normale"/>
    <w:rsid w:val="00F6650A"/>
    <w:pPr>
      <w:spacing w:before="100" w:beforeAutospacing="1" w:after="100" w:afterAutospacing="1"/>
    </w:pPr>
  </w:style>
  <w:style w:type="paragraph" w:customStyle="1" w:styleId="rigth">
    <w:name w:val="rigth"/>
    <w:basedOn w:val="Normale"/>
    <w:rsid w:val="00F6650A"/>
    <w:pPr>
      <w:spacing w:before="100" w:beforeAutospacing="1" w:after="100" w:afterAutospacing="1"/>
    </w:pPr>
  </w:style>
  <w:style w:type="paragraph" w:customStyle="1" w:styleId="popolo">
    <w:name w:val="popolo"/>
    <w:basedOn w:val="Normale"/>
    <w:rsid w:val="00F6650A"/>
    <w:pPr>
      <w:spacing w:before="100" w:beforeAutospacing="1" w:after="100" w:afterAutospacing="1"/>
    </w:pPr>
  </w:style>
  <w:style w:type="paragraph" w:customStyle="1" w:styleId="fatto">
    <w:name w:val="fatto"/>
    <w:basedOn w:val="Normale"/>
    <w:rsid w:val="00F6650A"/>
    <w:pPr>
      <w:spacing w:before="100" w:beforeAutospacing="1" w:after="100" w:afterAutospacing="1"/>
    </w:pPr>
  </w:style>
  <w:style w:type="paragraph" w:styleId="Testofumetto">
    <w:name w:val="Balloon Text"/>
    <w:basedOn w:val="Normale"/>
    <w:link w:val="TestofumettoCarattere"/>
    <w:uiPriority w:val="99"/>
    <w:semiHidden/>
    <w:unhideWhenUsed/>
    <w:rsid w:val="00175E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5E80"/>
    <w:rPr>
      <w:rFonts w:ascii="Tahoma" w:eastAsia="Times New Roman" w:hAnsi="Tahoma" w:cs="Tahoma"/>
      <w:sz w:val="16"/>
      <w:szCs w:val="16"/>
    </w:rPr>
  </w:style>
  <w:style w:type="paragraph" w:styleId="Intestazione">
    <w:name w:val="header"/>
    <w:basedOn w:val="Normale"/>
    <w:link w:val="IntestazioneCarattere"/>
    <w:uiPriority w:val="99"/>
    <w:semiHidden/>
    <w:unhideWhenUsed/>
    <w:rsid w:val="00175E8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75E80"/>
    <w:rPr>
      <w:rFonts w:eastAsia="Times New Roman"/>
      <w:sz w:val="24"/>
      <w:szCs w:val="24"/>
    </w:rPr>
  </w:style>
  <w:style w:type="paragraph" w:styleId="Pidipagina">
    <w:name w:val="footer"/>
    <w:basedOn w:val="Normale"/>
    <w:link w:val="PidipaginaCarattere"/>
    <w:uiPriority w:val="99"/>
    <w:unhideWhenUsed/>
    <w:rsid w:val="00175E80"/>
    <w:pPr>
      <w:tabs>
        <w:tab w:val="center" w:pos="4819"/>
        <w:tab w:val="right" w:pos="9638"/>
      </w:tabs>
    </w:pPr>
  </w:style>
  <w:style w:type="character" w:customStyle="1" w:styleId="PidipaginaCarattere">
    <w:name w:val="Piè di pagina Carattere"/>
    <w:basedOn w:val="Carpredefinitoparagrafo"/>
    <w:link w:val="Pidipagina"/>
    <w:uiPriority w:val="99"/>
    <w:rsid w:val="00175E80"/>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4823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5217</Characters>
  <Application>Microsoft Office Word</Application>
  <DocSecurity>0</DocSecurity>
  <Lines>43</Lines>
  <Paragraphs>12</Paragraphs>
  <ScaleCrop>false</ScaleCrop>
  <Company>Hewlett-Packard</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Leo Tarasco</dc:creator>
  <cp:lastModifiedBy>Luigi Alla</cp:lastModifiedBy>
  <cp:revision>3</cp:revision>
  <dcterms:created xsi:type="dcterms:W3CDTF">2013-05-31T11:55:00Z</dcterms:created>
  <dcterms:modified xsi:type="dcterms:W3CDTF">2013-05-31T11:55:00Z</dcterms:modified>
</cp:coreProperties>
</file>