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C" w:rsidRPr="005723F9" w:rsidRDefault="00F82FEC" w:rsidP="00AF6821">
      <w:pPr>
        <w:pStyle w:val="NormaleWeb"/>
        <w:jc w:val="center"/>
        <w:rPr>
          <w:b/>
          <w:sz w:val="24"/>
          <w:szCs w:val="24"/>
        </w:rPr>
      </w:pPr>
      <w:r w:rsidRPr="005723F9">
        <w:rPr>
          <w:b/>
          <w:sz w:val="24"/>
          <w:szCs w:val="24"/>
        </w:rPr>
        <w:t>Giornata di studi su</w:t>
      </w:r>
    </w:p>
    <w:p w:rsidR="00F82FEC" w:rsidRPr="005723F9" w:rsidRDefault="00F82FEC" w:rsidP="00AF6821">
      <w:pPr>
        <w:pStyle w:val="NormaleWeb"/>
        <w:jc w:val="center"/>
        <w:rPr>
          <w:b/>
          <w:sz w:val="24"/>
          <w:szCs w:val="24"/>
        </w:rPr>
      </w:pPr>
      <w:r w:rsidRPr="005723F9">
        <w:rPr>
          <w:b/>
          <w:sz w:val="24"/>
          <w:szCs w:val="24"/>
        </w:rPr>
        <w:t>AMMINISTRAZIONE E DEMOCRAZIA</w:t>
      </w:r>
    </w:p>
    <w:p w:rsidR="00F82FEC" w:rsidRDefault="00F82FEC" w:rsidP="00AF6821">
      <w:pPr>
        <w:pStyle w:val="NormaleWeb"/>
        <w:jc w:val="center"/>
        <w:rPr>
          <w:sz w:val="22"/>
          <w:szCs w:val="22"/>
        </w:rPr>
      </w:pPr>
      <w:r w:rsidRPr="00C92A98">
        <w:rPr>
          <w:sz w:val="22"/>
          <w:szCs w:val="22"/>
        </w:rPr>
        <w:t xml:space="preserve">in occasione del ventennale </w:t>
      </w:r>
    </w:p>
    <w:p w:rsidR="00F82FEC" w:rsidRPr="005723F9" w:rsidRDefault="00F82FEC" w:rsidP="00AF6821">
      <w:pPr>
        <w:pStyle w:val="NormaleWeb"/>
        <w:jc w:val="center"/>
        <w:rPr>
          <w:b/>
          <w:sz w:val="24"/>
          <w:szCs w:val="24"/>
        </w:rPr>
      </w:pPr>
      <w:r w:rsidRPr="00C92A98">
        <w:rPr>
          <w:sz w:val="22"/>
          <w:szCs w:val="22"/>
        </w:rPr>
        <w:t>del Centro di ricerca sulle amministrazioni pubbliche “Vittorio Bachelet”</w:t>
      </w:r>
      <w:r>
        <w:rPr>
          <w:sz w:val="22"/>
          <w:szCs w:val="22"/>
        </w:rPr>
        <w:t xml:space="preserve"> </w:t>
      </w:r>
      <w:r w:rsidRPr="005723F9">
        <w:rPr>
          <w:sz w:val="24"/>
          <w:szCs w:val="24"/>
        </w:rPr>
        <w:t>(1992-2012)</w:t>
      </w:r>
    </w:p>
    <w:p w:rsidR="00F82FEC" w:rsidRDefault="00F82FEC" w:rsidP="00AF6821">
      <w:pPr>
        <w:spacing w:after="0"/>
        <w:jc w:val="center"/>
        <w:rPr>
          <w:rFonts w:ascii="Times New Roman" w:hAnsi="Times New Roman"/>
          <w:b/>
        </w:rPr>
      </w:pPr>
    </w:p>
    <w:p w:rsidR="00787B60" w:rsidRPr="00F82FEC" w:rsidRDefault="00590575" w:rsidP="00590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2FEC">
        <w:rPr>
          <w:rFonts w:ascii="Times New Roman" w:hAnsi="Times New Roman"/>
          <w:b/>
          <w:sz w:val="28"/>
          <w:szCs w:val="28"/>
        </w:rPr>
        <w:t>L’AUTONOMIA IN DISCUSSIONE</w:t>
      </w:r>
      <w:r w:rsidR="00BE4CC8" w:rsidRPr="00F82FEC">
        <w:rPr>
          <w:rFonts w:ascii="Times New Roman" w:hAnsi="Times New Roman"/>
          <w:b/>
          <w:sz w:val="28"/>
          <w:szCs w:val="28"/>
        </w:rPr>
        <w:t>?</w:t>
      </w:r>
    </w:p>
    <w:p w:rsidR="00CA1181" w:rsidRPr="00F82FEC" w:rsidRDefault="00F82FEC" w:rsidP="0059057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Riflessioni su</w:t>
      </w:r>
      <w:r w:rsidR="00787B60" w:rsidRPr="00F82FEC">
        <w:rPr>
          <w:rFonts w:ascii="Times New Roman" w:hAnsi="Times New Roman"/>
          <w:b/>
          <w:sz w:val="28"/>
          <w:szCs w:val="28"/>
        </w:rPr>
        <w:t xml:space="preserve"> recenti provvedimenti </w:t>
      </w:r>
      <w:r w:rsidR="00BE4CC8" w:rsidRPr="00F82FEC">
        <w:rPr>
          <w:rFonts w:ascii="Times New Roman" w:hAnsi="Times New Roman"/>
          <w:b/>
          <w:i/>
          <w:sz w:val="28"/>
          <w:szCs w:val="28"/>
        </w:rPr>
        <w:t xml:space="preserve">in itinere </w:t>
      </w:r>
    </w:p>
    <w:p w:rsidR="00590575" w:rsidRDefault="00CA1181" w:rsidP="00590575">
      <w:pPr>
        <w:spacing w:after="0"/>
        <w:jc w:val="center"/>
        <w:rPr>
          <w:rFonts w:ascii="Times New Roman" w:hAnsi="Times New Roman"/>
          <w:b/>
        </w:rPr>
      </w:pPr>
      <w:r w:rsidRPr="00F82FEC">
        <w:rPr>
          <w:rFonts w:ascii="Times New Roman" w:hAnsi="Times New Roman"/>
          <w:b/>
          <w:sz w:val="28"/>
          <w:szCs w:val="28"/>
        </w:rPr>
        <w:t>in materia di enti territoriali</w:t>
      </w:r>
    </w:p>
    <w:p w:rsidR="00F82FEC" w:rsidRDefault="00F82FEC" w:rsidP="00590575">
      <w:pPr>
        <w:spacing w:after="0"/>
        <w:jc w:val="center"/>
        <w:rPr>
          <w:rFonts w:ascii="Times New Roman" w:hAnsi="Times New Roman"/>
          <w:b/>
        </w:rPr>
      </w:pPr>
    </w:p>
    <w:p w:rsidR="00F82FEC" w:rsidRPr="00F82FEC" w:rsidRDefault="00F82FEC" w:rsidP="00590575">
      <w:pPr>
        <w:spacing w:after="0"/>
        <w:jc w:val="center"/>
        <w:rPr>
          <w:rFonts w:ascii="Times New Roman" w:hAnsi="Times New Roman"/>
          <w:b/>
          <w:u w:val="single"/>
        </w:rPr>
      </w:pPr>
      <w:r w:rsidRPr="00F82FEC">
        <w:rPr>
          <w:rFonts w:ascii="Times New Roman" w:hAnsi="Times New Roman"/>
          <w:b/>
          <w:u w:val="single"/>
        </w:rPr>
        <w:t>TRACCIA</w:t>
      </w:r>
    </w:p>
    <w:p w:rsidR="00F82FEC" w:rsidRDefault="00F82FEC" w:rsidP="00590575">
      <w:pPr>
        <w:spacing w:after="0"/>
        <w:jc w:val="center"/>
        <w:rPr>
          <w:rFonts w:ascii="Times New Roman" w:hAnsi="Times New Roman"/>
          <w:b/>
        </w:rPr>
      </w:pPr>
    </w:p>
    <w:p w:rsidR="00F82FEC" w:rsidRPr="00F82FEC" w:rsidRDefault="00F82FEC" w:rsidP="00590575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Alessandro Maria Baroni</w:t>
      </w:r>
    </w:p>
    <w:p w:rsidR="00831D2D" w:rsidRDefault="00831D2D" w:rsidP="00831D2D">
      <w:pPr>
        <w:spacing w:after="0"/>
        <w:jc w:val="both"/>
        <w:rPr>
          <w:rFonts w:ascii="Times New Roman" w:hAnsi="Times New Roman"/>
        </w:rPr>
      </w:pPr>
    </w:p>
    <w:p w:rsidR="00787B60" w:rsidRDefault="00F970B4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 sono gli interventi recenti che colpiscono a vario titolo e in varia misura il siste</w:t>
      </w:r>
      <w:r w:rsidR="00787B60">
        <w:rPr>
          <w:rFonts w:ascii="Times New Roman" w:hAnsi="Times New Roman"/>
        </w:rPr>
        <w:t>ma delle autonomie territoriali.</w:t>
      </w:r>
    </w:p>
    <w:p w:rsidR="00787B60" w:rsidRDefault="00787B60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A.S. 3520: Disposizioni di revisione della Costituzione e altre disposizioni costituzionali in materia di autonomia regionale.</w:t>
      </w:r>
    </w:p>
    <w:p w:rsidR="00B51BDC" w:rsidRDefault="00787B60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– </w:t>
      </w:r>
      <w:proofErr w:type="spellStart"/>
      <w:r>
        <w:rPr>
          <w:rFonts w:ascii="Times New Roman" w:hAnsi="Times New Roman"/>
        </w:rPr>
        <w:t>A.C.</w:t>
      </w:r>
      <w:proofErr w:type="spellEnd"/>
      <w:r w:rsidR="00B51BDC">
        <w:rPr>
          <w:rFonts w:ascii="Times New Roman" w:hAnsi="Times New Roman"/>
        </w:rPr>
        <w:t xml:space="preserve"> 5534:</w:t>
      </w:r>
      <w:r>
        <w:rPr>
          <w:rFonts w:ascii="Times New Roman" w:hAnsi="Times New Roman"/>
        </w:rPr>
        <w:t xml:space="preserve"> Disposizioni per la formazione del bilancio annuale e pluriennale dello Stato (legge di stabilità 2013).</w:t>
      </w:r>
    </w:p>
    <w:p w:rsidR="00B51BDC" w:rsidRPr="00F82FEC" w:rsidRDefault="00B51BDC" w:rsidP="00F82FEC">
      <w:pPr>
        <w:spacing w:after="0"/>
        <w:ind w:firstLine="426"/>
        <w:jc w:val="both"/>
        <w:rPr>
          <w:rFonts w:ascii="Times New Roman" w:hAnsi="Times New Roman" w:cs="Courier"/>
          <w:color w:val="000000"/>
          <w:szCs w:val="19"/>
        </w:rPr>
      </w:pPr>
      <w:r>
        <w:rPr>
          <w:rFonts w:ascii="Times New Roman" w:hAnsi="Times New Roman"/>
        </w:rPr>
        <w:t xml:space="preserve">3 – D.l. 10 ottobre 2012, n. 174, recante </w:t>
      </w:r>
      <w:r w:rsidRPr="004A382D">
        <w:rPr>
          <w:rFonts w:ascii="Times New Roman" w:hAnsi="Times New Roman"/>
        </w:rPr>
        <w:t>“</w:t>
      </w:r>
      <w:r w:rsidRPr="00F82FEC">
        <w:rPr>
          <w:rFonts w:ascii="Times New Roman" w:hAnsi="Times New Roman" w:cs="Courier"/>
          <w:color w:val="000000"/>
          <w:szCs w:val="19"/>
        </w:rPr>
        <w:t>Disposizioni urgenti in materia di finanza e funzionamento degli enti territoriali, nonché ulteriori disposizioni in favore delle zone terremotate nel maggio 2012”.</w:t>
      </w:r>
    </w:p>
    <w:p w:rsidR="00B51BDC" w:rsidRPr="00F82FEC" w:rsidRDefault="00B51BDC" w:rsidP="00F82FEC">
      <w:pPr>
        <w:spacing w:after="0"/>
        <w:ind w:firstLine="426"/>
        <w:jc w:val="both"/>
        <w:rPr>
          <w:rFonts w:ascii="Times New Roman" w:hAnsi="Times New Roman" w:cs="Courier"/>
          <w:color w:val="000000"/>
          <w:szCs w:val="19"/>
        </w:rPr>
      </w:pPr>
    </w:p>
    <w:p w:rsidR="0069458D" w:rsidRPr="00F82FEC" w:rsidRDefault="00B51BDC" w:rsidP="00F82FEC">
      <w:pPr>
        <w:spacing w:after="0"/>
        <w:ind w:firstLine="426"/>
        <w:jc w:val="both"/>
        <w:rPr>
          <w:rFonts w:ascii="Times New Roman" w:hAnsi="Times New Roman" w:cs="Courier"/>
          <w:color w:val="000000"/>
          <w:szCs w:val="19"/>
        </w:rPr>
      </w:pPr>
      <w:r w:rsidRPr="00F82FEC">
        <w:rPr>
          <w:rFonts w:ascii="Times New Roman" w:hAnsi="Times New Roman" w:cs="Courier"/>
          <w:color w:val="000000"/>
          <w:szCs w:val="19"/>
        </w:rPr>
        <w:t>Quali novità apportano alla disciplina generale delle autonomie t</w:t>
      </w:r>
      <w:r w:rsidR="005F0C49" w:rsidRPr="00F82FEC">
        <w:rPr>
          <w:rFonts w:ascii="Times New Roman" w:hAnsi="Times New Roman" w:cs="Courier"/>
          <w:color w:val="000000"/>
          <w:szCs w:val="19"/>
        </w:rPr>
        <w:t xml:space="preserve">erritoriali e quale incidenza </w:t>
      </w:r>
      <w:r w:rsidR="0069458D" w:rsidRPr="00F82FEC">
        <w:rPr>
          <w:rFonts w:ascii="Times New Roman" w:hAnsi="Times New Roman" w:cs="Courier"/>
          <w:color w:val="000000"/>
          <w:szCs w:val="19"/>
        </w:rPr>
        <w:t>hanno rispetto al loro inquadramento fornito dal titolo V?</w:t>
      </w:r>
    </w:p>
    <w:p w:rsidR="0069458D" w:rsidRPr="00F82FEC" w:rsidRDefault="0069458D" w:rsidP="00F82FEC">
      <w:pPr>
        <w:spacing w:after="0"/>
        <w:ind w:firstLine="426"/>
        <w:jc w:val="both"/>
        <w:rPr>
          <w:rFonts w:ascii="Times New Roman" w:hAnsi="Times New Roman" w:cs="Courier"/>
          <w:color w:val="000000"/>
          <w:szCs w:val="19"/>
        </w:rPr>
      </w:pPr>
    </w:p>
    <w:p w:rsidR="00F970B4" w:rsidRDefault="002A06F0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</w:t>
      </w:r>
      <w:r w:rsidR="008C03A9">
        <w:rPr>
          <w:rFonts w:ascii="Times New Roman" w:hAnsi="Times New Roman"/>
        </w:rPr>
        <w:t xml:space="preserve"> troviamo di fronte </w:t>
      </w:r>
      <w:r>
        <w:rPr>
          <w:rFonts w:ascii="Times New Roman" w:hAnsi="Times New Roman"/>
        </w:rPr>
        <w:t>a s</w:t>
      </w:r>
      <w:r w:rsidR="00F970B4">
        <w:rPr>
          <w:rFonts w:ascii="Times New Roman" w:hAnsi="Times New Roman"/>
        </w:rPr>
        <w:t>emplici interventi correttivi</w:t>
      </w:r>
      <w:r>
        <w:rPr>
          <w:rFonts w:ascii="Times New Roman" w:hAnsi="Times New Roman"/>
        </w:rPr>
        <w:t xml:space="preserve"> (come sono stati presentati ad es. gli interventi sul titolo V)</w:t>
      </w:r>
      <w:r w:rsidR="00F970B4">
        <w:rPr>
          <w:rFonts w:ascii="Times New Roman" w:hAnsi="Times New Roman"/>
        </w:rPr>
        <w:t xml:space="preserve">, </w:t>
      </w:r>
      <w:r w:rsidR="008C03A9">
        <w:rPr>
          <w:rFonts w:ascii="Times New Roman" w:hAnsi="Times New Roman"/>
        </w:rPr>
        <w:t xml:space="preserve">a </w:t>
      </w:r>
      <w:r w:rsidR="00F970B4">
        <w:rPr>
          <w:rFonts w:ascii="Times New Roman" w:hAnsi="Times New Roman"/>
        </w:rPr>
        <w:t xml:space="preserve">riforme auspicabili </w:t>
      </w:r>
      <w:r>
        <w:rPr>
          <w:rFonts w:ascii="Times New Roman" w:hAnsi="Times New Roman"/>
        </w:rPr>
        <w:t xml:space="preserve">(come </w:t>
      </w:r>
      <w:r w:rsidR="008C03A9">
        <w:rPr>
          <w:rFonts w:ascii="Times New Roman" w:hAnsi="Times New Roman"/>
        </w:rPr>
        <w:t xml:space="preserve">il d.l. n. 174/12 che prevede </w:t>
      </w:r>
      <w:r>
        <w:rPr>
          <w:rFonts w:ascii="Times New Roman" w:hAnsi="Times New Roman"/>
        </w:rPr>
        <w:t xml:space="preserve">la revisione del sistema dei controlli o i tagli ai costi della politica a livello regionale) </w:t>
      </w:r>
      <w:r w:rsidR="00F970B4">
        <w:rPr>
          <w:rFonts w:ascii="Times New Roman" w:hAnsi="Times New Roman"/>
        </w:rPr>
        <w:t xml:space="preserve">o </w:t>
      </w:r>
      <w:r w:rsidR="008C03A9">
        <w:rPr>
          <w:rFonts w:ascii="Times New Roman" w:hAnsi="Times New Roman"/>
        </w:rPr>
        <w:t xml:space="preserve">ad </w:t>
      </w:r>
      <w:r w:rsidR="00F970B4">
        <w:rPr>
          <w:rFonts w:ascii="Times New Roman" w:hAnsi="Times New Roman"/>
        </w:rPr>
        <w:t>interv</w:t>
      </w:r>
      <w:r>
        <w:rPr>
          <w:rFonts w:ascii="Times New Roman" w:hAnsi="Times New Roman"/>
        </w:rPr>
        <w:t xml:space="preserve">enti </w:t>
      </w:r>
      <w:r w:rsidR="008C03A9">
        <w:rPr>
          <w:rFonts w:ascii="Times New Roman" w:hAnsi="Times New Roman"/>
        </w:rPr>
        <w:t>di forte riduzione della spesa pubblica dettati dalla crisi (v. legge di stabilità)</w:t>
      </w:r>
      <w:r w:rsidR="00F970B4">
        <w:rPr>
          <w:rFonts w:ascii="Times New Roman" w:hAnsi="Times New Roman"/>
        </w:rPr>
        <w:t>?</w:t>
      </w:r>
    </w:p>
    <w:p w:rsidR="008C03A9" w:rsidRDefault="008C03A9" w:rsidP="00F82FEC">
      <w:pPr>
        <w:spacing w:after="0"/>
        <w:ind w:firstLine="426"/>
        <w:jc w:val="both"/>
        <w:rPr>
          <w:rFonts w:ascii="Times New Roman" w:hAnsi="Times New Roman"/>
        </w:rPr>
      </w:pPr>
    </w:p>
    <w:p w:rsidR="008F1733" w:rsidRDefault="008F1733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F82FEC">
        <w:rPr>
          <w:rFonts w:ascii="Times New Roman" w:hAnsi="Times New Roman"/>
        </w:rPr>
        <w:t>ppure</w:t>
      </w:r>
      <w:r>
        <w:rPr>
          <w:rFonts w:ascii="Times New Roman" w:hAnsi="Times New Roman"/>
        </w:rPr>
        <w:t>, ad un’analisi più precisa, emergono previsioni che incidono e incideranno molto più a fondo sulla vita degli enti territoriali, mutando – in differente misura – lo status di tali livelli di governo e il loro inquadramento nel sistema istituzionale</w:t>
      </w:r>
      <w:r w:rsidR="008D1D42">
        <w:rPr>
          <w:rFonts w:ascii="Times New Roman" w:hAnsi="Times New Roman"/>
        </w:rPr>
        <w:t>, fino a giungere, in alcuni casi, a mettere in discussione i profili di autonomia degli stessi</w:t>
      </w:r>
      <w:r>
        <w:rPr>
          <w:rFonts w:ascii="Times New Roman" w:hAnsi="Times New Roman"/>
        </w:rPr>
        <w:t>?</w:t>
      </w:r>
    </w:p>
    <w:p w:rsidR="008C03A9" w:rsidRDefault="008C03A9" w:rsidP="00F82FEC">
      <w:pPr>
        <w:spacing w:after="0"/>
        <w:ind w:firstLine="426"/>
        <w:jc w:val="both"/>
        <w:rPr>
          <w:rFonts w:ascii="Times New Roman" w:hAnsi="Times New Roman"/>
        </w:rPr>
      </w:pPr>
    </w:p>
    <w:p w:rsidR="008D1D42" w:rsidRDefault="008D1D42" w:rsidP="00F82FE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una prima analisi (che ci permettiamo di completare in un secondo momento, alla conclusione dell’iter parlamentare), emergono non pochi profili problematici che sembrerebbero avvalorare maggiormente questa seconda tesi:</w:t>
      </w:r>
    </w:p>
    <w:p w:rsidR="008D1D42" w:rsidRDefault="008D1D42" w:rsidP="00F82FEC">
      <w:pPr>
        <w:spacing w:after="0"/>
        <w:ind w:firstLine="426"/>
        <w:jc w:val="both"/>
        <w:rPr>
          <w:rFonts w:ascii="Times New Roman" w:hAnsi="Times New Roman"/>
        </w:rPr>
      </w:pPr>
    </w:p>
    <w:p w:rsidR="006C577D" w:rsidRDefault="00D91E7C" w:rsidP="00F82FEC">
      <w:pPr>
        <w:pStyle w:val="Paragrafoelenco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rispetto all’</w:t>
      </w:r>
      <w:r w:rsidR="00534153" w:rsidRPr="00455D95">
        <w:rPr>
          <w:rFonts w:ascii="Times New Roman" w:hAnsi="Times New Roman"/>
        </w:rPr>
        <w:t xml:space="preserve">A.S. 3520 di revisione </w:t>
      </w:r>
      <w:r w:rsidR="006C577D">
        <w:rPr>
          <w:rFonts w:ascii="Times New Roman" w:hAnsi="Times New Roman"/>
        </w:rPr>
        <w:t>costituzionale</w:t>
      </w:r>
      <w:r w:rsidR="00455D95" w:rsidRPr="00455D95">
        <w:rPr>
          <w:rFonts w:ascii="Times New Roman" w:hAnsi="Times New Roman"/>
        </w:rPr>
        <w:t xml:space="preserve"> si avanzano dubbi circa</w:t>
      </w:r>
      <w:r w:rsidR="006C577D">
        <w:rPr>
          <w:rFonts w:ascii="Times New Roman" w:hAnsi="Times New Roman"/>
        </w:rPr>
        <w:t>:</w:t>
      </w:r>
    </w:p>
    <w:p w:rsidR="006C577D" w:rsidRDefault="006C577D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l’introduzione di controlli prev</w:t>
      </w:r>
      <w:r w:rsidR="00A174A5">
        <w:rPr>
          <w:rFonts w:ascii="Times New Roman" w:hAnsi="Times New Roman"/>
        </w:rPr>
        <w:t>entivi di legittimità sugli atti</w:t>
      </w:r>
      <w:r>
        <w:rPr>
          <w:rFonts w:ascii="Times New Roman" w:hAnsi="Times New Roman"/>
        </w:rPr>
        <w:t xml:space="preserve"> delle regioni da parte della Corte dei Conti (art. 100);</w:t>
      </w:r>
    </w:p>
    <w:p w:rsidR="00455D95" w:rsidRPr="006C577D" w:rsidRDefault="00455D95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 w:rsidRPr="006C577D">
        <w:rPr>
          <w:rFonts w:ascii="Times New Roman" w:hAnsi="Times New Roman"/>
        </w:rPr>
        <w:t xml:space="preserve">l’introduzione </w:t>
      </w:r>
      <w:r w:rsidRPr="006C577D">
        <w:rPr>
          <w:rFonts w:ascii="Times New Roman" w:hAnsi="Times New Roman"/>
          <w:i/>
        </w:rPr>
        <w:t>de facto</w:t>
      </w:r>
      <w:r w:rsidRPr="006C577D">
        <w:rPr>
          <w:rFonts w:ascii="Times New Roman" w:hAnsi="Times New Roman"/>
        </w:rPr>
        <w:t>, all’art. 117, di una clausola di supremazia della legislazione statale, peraltro secondo una formulazione estremamente vaga;</w:t>
      </w:r>
    </w:p>
    <w:p w:rsidR="00E17D08" w:rsidRDefault="00E17D08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riconduzione alla potestà legislativa esclusiva dello Stato delle “norme generali sul procedimento amministrativo”, per l’incertezza che produce rispetto al soggetto potenzialmente titolato all’emanazione di norme puntuali;</w:t>
      </w:r>
    </w:p>
    <w:p w:rsidR="0051077E" w:rsidRDefault="0051077E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l’ampliamento della potestà legislativa esclusiva statale in materia di enti locali alla “disciplina generale”, che rischia di fagocitare l’autonomia normativa degli enti;</w:t>
      </w:r>
    </w:p>
    <w:p w:rsidR="00D91E7C" w:rsidRDefault="0051077E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ridefinizione della concorrenza riconoscendo allo Stato una funzione teleologica con l’incertezza riguardo ai margini di </w:t>
      </w:r>
      <w:r w:rsidR="00D91E7C">
        <w:rPr>
          <w:rFonts w:ascii="Times New Roman" w:hAnsi="Times New Roman"/>
        </w:rPr>
        <w:t>intervento per le regioni;</w:t>
      </w:r>
    </w:p>
    <w:p w:rsidR="00D91E7C" w:rsidRDefault="00D91E7C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costituzionalizzazione</w:t>
      </w:r>
      <w:proofErr w:type="spellEnd"/>
      <w:r>
        <w:rPr>
          <w:rFonts w:ascii="Times New Roman" w:hAnsi="Times New Roman"/>
        </w:rPr>
        <w:t xml:space="preserve"> della cd. chi</w:t>
      </w:r>
      <w:r w:rsidR="00F82FEC">
        <w:rPr>
          <w:rFonts w:ascii="Times New Roman" w:hAnsi="Times New Roman"/>
        </w:rPr>
        <w:t>a</w:t>
      </w:r>
      <w:r>
        <w:rPr>
          <w:rFonts w:ascii="Times New Roman" w:hAnsi="Times New Roman"/>
        </w:rPr>
        <w:t>mata in sussidiarietà.</w:t>
      </w:r>
    </w:p>
    <w:p w:rsidR="00D91E7C" w:rsidRDefault="00D91E7C" w:rsidP="00F82FEC">
      <w:pPr>
        <w:spacing w:after="0"/>
        <w:ind w:firstLine="426"/>
        <w:jc w:val="both"/>
        <w:rPr>
          <w:rFonts w:ascii="Times New Roman" w:hAnsi="Times New Roman"/>
        </w:rPr>
      </w:pPr>
    </w:p>
    <w:p w:rsidR="00D91E7C" w:rsidRDefault="00D91E7C" w:rsidP="00F82FEC">
      <w:pPr>
        <w:pStyle w:val="Paragrafoelenco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</w:rPr>
      </w:pPr>
      <w:r w:rsidRPr="00D91E7C">
        <w:rPr>
          <w:rFonts w:ascii="Times New Roman" w:hAnsi="Times New Roman"/>
        </w:rPr>
        <w:t>rispetto al d.l. n. 174 de</w:t>
      </w:r>
      <w:r>
        <w:rPr>
          <w:rFonts w:ascii="Times New Roman" w:hAnsi="Times New Roman"/>
        </w:rPr>
        <w:t>l 2012, si avanzano dubbi circa:</w:t>
      </w:r>
    </w:p>
    <w:p w:rsidR="00A174A5" w:rsidRDefault="00A174A5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configurazione del sistema dei controlli della Corte dei Conti sulle regioni</w:t>
      </w:r>
      <w:r w:rsidR="008B483A">
        <w:rPr>
          <w:rFonts w:ascii="Times New Roman" w:hAnsi="Times New Roman"/>
        </w:rPr>
        <w:t xml:space="preserve"> (art. 1)</w:t>
      </w:r>
      <w:r>
        <w:rPr>
          <w:rFonts w:ascii="Times New Roman" w:hAnsi="Times New Roman"/>
        </w:rPr>
        <w:t>;</w:t>
      </w:r>
    </w:p>
    <w:p w:rsidR="008B483A" w:rsidRDefault="00A174A5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l’obbligo per le </w:t>
      </w:r>
      <w:r w:rsidR="008B483A">
        <w:rPr>
          <w:rFonts w:ascii="Times New Roman" w:hAnsi="Times New Roman"/>
        </w:rPr>
        <w:t xml:space="preserve">regioni di adeguarsi ad una serie di previsioni, anche di tipo </w:t>
      </w:r>
      <w:proofErr w:type="spellStart"/>
      <w:r w:rsidR="008B483A">
        <w:rPr>
          <w:rFonts w:ascii="Times New Roman" w:hAnsi="Times New Roman"/>
        </w:rPr>
        <w:t>ordinamentale</w:t>
      </w:r>
      <w:proofErr w:type="spellEnd"/>
      <w:r w:rsidR="008B483A">
        <w:rPr>
          <w:rFonts w:ascii="Times New Roman" w:hAnsi="Times New Roman"/>
        </w:rPr>
        <w:t>, pena la drastica riduzione dei trasferimenti (art. 2);</w:t>
      </w:r>
    </w:p>
    <w:p w:rsidR="008B483A" w:rsidRDefault="008B483A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nuovo assetto dei controlli sugli enti locali</w:t>
      </w:r>
      <w:r w:rsidR="00BD5682">
        <w:rPr>
          <w:rFonts w:ascii="Times New Roman" w:hAnsi="Times New Roman"/>
        </w:rPr>
        <w:t xml:space="preserve"> (art. 3)</w:t>
      </w:r>
      <w:r>
        <w:rPr>
          <w:rFonts w:ascii="Times New Roman" w:hAnsi="Times New Roman"/>
        </w:rPr>
        <w:t>;</w:t>
      </w:r>
    </w:p>
    <w:p w:rsidR="00BD5682" w:rsidRDefault="008B483A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configurazione della procedura di cd. </w:t>
      </w:r>
      <w:proofErr w:type="spellStart"/>
      <w:r>
        <w:rPr>
          <w:rFonts w:ascii="Times New Roman" w:hAnsi="Times New Roman"/>
        </w:rPr>
        <w:t>pre-default</w:t>
      </w:r>
      <w:proofErr w:type="spellEnd"/>
      <w:r>
        <w:rPr>
          <w:rFonts w:ascii="Times New Roman" w:hAnsi="Times New Roman"/>
        </w:rPr>
        <w:t xml:space="preserve"> </w:t>
      </w:r>
      <w:r w:rsidR="00BD5682">
        <w:rPr>
          <w:rFonts w:ascii="Times New Roman" w:hAnsi="Times New Roman"/>
        </w:rPr>
        <w:t xml:space="preserve">(art. 4) </w:t>
      </w:r>
      <w:r>
        <w:rPr>
          <w:rFonts w:ascii="Times New Roman" w:hAnsi="Times New Roman"/>
        </w:rPr>
        <w:t>e l’esclusione dalla stessa dei comuni al di sotto dei 20 mila abitanti</w:t>
      </w:r>
      <w:r w:rsidR="00BD5682">
        <w:rPr>
          <w:rFonts w:ascii="Times New Roman" w:hAnsi="Times New Roman"/>
        </w:rPr>
        <w:t xml:space="preserve"> (emendamento approvato in sede di conversione del decreto)</w:t>
      </w:r>
      <w:r>
        <w:rPr>
          <w:rFonts w:ascii="Times New Roman" w:hAnsi="Times New Roman"/>
        </w:rPr>
        <w:t>.</w:t>
      </w:r>
    </w:p>
    <w:p w:rsidR="00BD5682" w:rsidRDefault="00BD5682" w:rsidP="00F82FEC">
      <w:pPr>
        <w:pStyle w:val="Paragrafoelenco"/>
        <w:spacing w:after="0"/>
        <w:ind w:left="1800" w:firstLine="426"/>
        <w:jc w:val="both"/>
        <w:rPr>
          <w:rFonts w:ascii="Times New Roman" w:hAnsi="Times New Roman"/>
        </w:rPr>
      </w:pPr>
    </w:p>
    <w:p w:rsidR="00BD5682" w:rsidRPr="00BD5682" w:rsidRDefault="00BD5682" w:rsidP="00F82FEC">
      <w:pPr>
        <w:pStyle w:val="Paragrafoelenco"/>
        <w:numPr>
          <w:ilvl w:val="0"/>
          <w:numId w:val="2"/>
        </w:numPr>
        <w:spacing w:after="0"/>
        <w:ind w:firstLine="426"/>
        <w:jc w:val="both"/>
        <w:rPr>
          <w:rFonts w:ascii="Times New Roman" w:hAnsi="Times New Roman"/>
        </w:rPr>
      </w:pPr>
      <w:r w:rsidRPr="00BD5682">
        <w:rPr>
          <w:rFonts w:ascii="Times New Roman" w:hAnsi="Times New Roman"/>
        </w:rPr>
        <w:t>rispetto all’</w:t>
      </w:r>
      <w:proofErr w:type="spellStart"/>
      <w:r w:rsidRPr="00BD5682">
        <w:rPr>
          <w:rFonts w:ascii="Times New Roman" w:hAnsi="Times New Roman"/>
        </w:rPr>
        <w:t>A.C.</w:t>
      </w:r>
      <w:proofErr w:type="spellEnd"/>
      <w:r w:rsidRPr="00BD5682">
        <w:rPr>
          <w:rFonts w:ascii="Times New Roman" w:hAnsi="Times New Roman"/>
        </w:rPr>
        <w:t xml:space="preserve"> 5534 (legge di stabilità 2013), si avanzano dubbi circa:</w:t>
      </w:r>
    </w:p>
    <w:p w:rsidR="00D6145C" w:rsidRDefault="00BD5682" w:rsidP="00F82FEC">
      <w:pPr>
        <w:pStyle w:val="Paragrafoelenco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tagli della spesa disposti a carico delle regioni e degli enti locali (art. 1, commi </w:t>
      </w:r>
      <w:r w:rsidR="00BD1C13">
        <w:rPr>
          <w:rFonts w:ascii="Times New Roman" w:hAnsi="Times New Roman"/>
        </w:rPr>
        <w:t>89-94</w:t>
      </w:r>
      <w:r>
        <w:rPr>
          <w:rFonts w:ascii="Times New Roman" w:hAnsi="Times New Roman"/>
        </w:rPr>
        <w:t>)</w:t>
      </w:r>
      <w:r w:rsidR="00BD1C13">
        <w:rPr>
          <w:rFonts w:ascii="Times New Roman" w:hAnsi="Times New Roman"/>
        </w:rPr>
        <w:t xml:space="preserve">, anche in riferimento </w:t>
      </w:r>
      <w:r w:rsidR="00DA3021">
        <w:rPr>
          <w:rFonts w:ascii="Times New Roman" w:hAnsi="Times New Roman"/>
        </w:rPr>
        <w:t>alla pronuncia della Corte costituzionale n. 193 del 2012 che sancisce il principio della temporaneità delle restriz</w:t>
      </w:r>
      <w:r w:rsidR="00D6145C">
        <w:rPr>
          <w:rFonts w:ascii="Times New Roman" w:hAnsi="Times New Roman"/>
        </w:rPr>
        <w:t>ioni a carico degli enti territoriali.</w:t>
      </w:r>
    </w:p>
    <w:p w:rsidR="00D6145C" w:rsidRDefault="00D6145C" w:rsidP="00F82FEC">
      <w:pPr>
        <w:spacing w:after="0"/>
        <w:ind w:firstLine="426"/>
        <w:jc w:val="both"/>
        <w:rPr>
          <w:rFonts w:ascii="Times New Roman" w:hAnsi="Times New Roman"/>
        </w:rPr>
      </w:pPr>
    </w:p>
    <w:p w:rsidR="00E51E0D" w:rsidRPr="0009210C" w:rsidRDefault="00E51E0D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Pr="0009210C">
        <w:rPr>
          <w:rFonts w:ascii="Times New Roman" w:hAnsi="Times New Roman"/>
        </w:rPr>
        <w:t>riferimento a tali provvedimenti emergono altresì alcuni elementi di forte contraddittorietà interna e reciproca. Ad esempio, si veda:</w:t>
      </w:r>
    </w:p>
    <w:p w:rsidR="00F2708E" w:rsidRPr="0009210C" w:rsidRDefault="00E51E0D" w:rsidP="00F82FE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09210C">
        <w:rPr>
          <w:rFonts w:ascii="Times New Roman" w:hAnsi="Times New Roman"/>
        </w:rPr>
        <w:t>la novella costituzionale relativa al ruolo della Corte dei Conti e quanto invece previsto dal dl n. 174 del 2012;</w:t>
      </w:r>
    </w:p>
    <w:p w:rsidR="00F2708E" w:rsidRPr="0009210C" w:rsidRDefault="00F2708E" w:rsidP="00F82FE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09210C">
        <w:rPr>
          <w:rFonts w:ascii="Times New Roman" w:hAnsi="Times New Roman"/>
        </w:rPr>
        <w:t xml:space="preserve">la disciplina generale della procedura di </w:t>
      </w:r>
      <w:proofErr w:type="spellStart"/>
      <w:r w:rsidRPr="0009210C">
        <w:rPr>
          <w:rFonts w:ascii="Times New Roman" w:hAnsi="Times New Roman"/>
        </w:rPr>
        <w:t>pre-default</w:t>
      </w:r>
      <w:proofErr w:type="spellEnd"/>
      <w:r w:rsidRPr="0009210C">
        <w:rPr>
          <w:rFonts w:ascii="Times New Roman" w:hAnsi="Times New Roman"/>
        </w:rPr>
        <w:t xml:space="preserve"> e l’impatto irrazionale della medesima sugli organi politici;</w:t>
      </w:r>
    </w:p>
    <w:p w:rsidR="0009210C" w:rsidRPr="00F82FEC" w:rsidRDefault="00F2708E" w:rsidP="00F82FEC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  <w:r w:rsidRPr="0009210C">
        <w:rPr>
          <w:rFonts w:ascii="Times New Roman" w:hAnsi="Times New Roman"/>
        </w:rPr>
        <w:t xml:space="preserve">il ruolo che la Corte dei Conti può svolgere in riferimento all’attivazione della procedura di </w:t>
      </w:r>
      <w:proofErr w:type="spellStart"/>
      <w:r w:rsidRPr="0009210C">
        <w:rPr>
          <w:rFonts w:ascii="Times New Roman" w:hAnsi="Times New Roman"/>
        </w:rPr>
        <w:t>pre-default</w:t>
      </w:r>
      <w:proofErr w:type="spellEnd"/>
      <w:r w:rsidR="0009210C" w:rsidRPr="0009210C">
        <w:rPr>
          <w:rFonts w:ascii="Times New Roman" w:hAnsi="Times New Roman"/>
        </w:rPr>
        <w:t>.</w:t>
      </w:r>
    </w:p>
    <w:p w:rsidR="0009210C" w:rsidRPr="00F82FEC" w:rsidRDefault="0009210C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  <w:r w:rsidRPr="00F82FEC">
        <w:rPr>
          <w:rFonts w:ascii="Times New Roman" w:hAnsi="Times New Roman" w:cs="Lucida Grande"/>
        </w:rPr>
        <w:t xml:space="preserve"> </w:t>
      </w:r>
    </w:p>
    <w:p w:rsidR="00E910F1" w:rsidRPr="00F82FEC" w:rsidRDefault="0009210C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  <w:r w:rsidRPr="00F82FEC">
        <w:rPr>
          <w:rFonts w:ascii="Times New Roman" w:hAnsi="Times New Roman" w:cs="Lucida Grande"/>
        </w:rPr>
        <w:t>Particolari dubbi emergono anche circa il contrasto tra tali previsioni e il dettato costituzionale (art</w:t>
      </w:r>
      <w:r w:rsidR="00F82FEC">
        <w:rPr>
          <w:rFonts w:ascii="Times New Roman" w:hAnsi="Times New Roman" w:cs="Lucida Grande"/>
        </w:rPr>
        <w:t>t</w:t>
      </w:r>
      <w:r w:rsidRPr="00F82FEC">
        <w:rPr>
          <w:rFonts w:ascii="Times New Roman" w:hAnsi="Times New Roman" w:cs="Lucida Grande"/>
        </w:rPr>
        <w:t>. 3, 5, 81, 114, 119</w:t>
      </w:r>
      <w:r w:rsidR="00F82FEC">
        <w:rPr>
          <w:rFonts w:ascii="Times New Roman" w:hAnsi="Times New Roman" w:cs="Lucida Grande"/>
        </w:rPr>
        <w:t xml:space="preserve"> Cost.</w:t>
      </w:r>
      <w:r w:rsidRPr="00F82FEC">
        <w:rPr>
          <w:rFonts w:ascii="Times New Roman" w:hAnsi="Times New Roman" w:cs="Lucida Grande"/>
        </w:rPr>
        <w:t>).</w:t>
      </w:r>
    </w:p>
    <w:p w:rsidR="00E910F1" w:rsidRPr="00F82FEC" w:rsidRDefault="00E910F1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</w:p>
    <w:p w:rsidR="00DA5CA1" w:rsidRPr="00F82FEC" w:rsidRDefault="00E910F1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  <w:r w:rsidRPr="00F82FEC">
        <w:rPr>
          <w:rFonts w:ascii="Times New Roman" w:hAnsi="Times New Roman" w:cs="Lucida Grande"/>
        </w:rPr>
        <w:t xml:space="preserve">Questi provvedimenti </w:t>
      </w:r>
      <w:r w:rsidR="00295B01" w:rsidRPr="00F82FEC">
        <w:rPr>
          <w:rFonts w:ascii="Times New Roman" w:hAnsi="Times New Roman" w:cs="Lucida Grande"/>
        </w:rPr>
        <w:t xml:space="preserve">presentano dunque poche luci e molte ombre, </w:t>
      </w:r>
      <w:r w:rsidRPr="00F82FEC">
        <w:rPr>
          <w:rFonts w:ascii="Times New Roman" w:hAnsi="Times New Roman" w:cs="Lucida Grande"/>
        </w:rPr>
        <w:t xml:space="preserve">segnano l’ennesima pagina </w:t>
      </w:r>
      <w:r w:rsidR="00295B01" w:rsidRPr="00F82FEC">
        <w:rPr>
          <w:rFonts w:ascii="Times New Roman" w:hAnsi="Times New Roman" w:cs="Lucida Grande"/>
        </w:rPr>
        <w:t xml:space="preserve">di interventi estemporanei e contingenti sul sistema delle autonomie territoriali </w:t>
      </w:r>
      <w:r w:rsidR="00F82FEC">
        <w:rPr>
          <w:rFonts w:ascii="Times New Roman" w:hAnsi="Times New Roman" w:cs="Lucida Grande"/>
        </w:rPr>
        <w:t xml:space="preserve">e ne minano </w:t>
      </w:r>
      <w:r w:rsidR="00DA5CA1" w:rsidRPr="00F82FEC">
        <w:rPr>
          <w:rFonts w:ascii="Times New Roman" w:hAnsi="Times New Roman" w:cs="Lucida Grande"/>
        </w:rPr>
        <w:t>i margini sostanziali di autonomia.</w:t>
      </w:r>
    </w:p>
    <w:p w:rsidR="00DA5CA1" w:rsidRPr="00F82FEC" w:rsidRDefault="00DA5CA1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</w:p>
    <w:p w:rsidR="0009210C" w:rsidRPr="00F82FEC" w:rsidRDefault="00DA5CA1" w:rsidP="00F82FE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Lucida Grande"/>
        </w:rPr>
      </w:pPr>
      <w:r w:rsidRPr="00F82FEC">
        <w:rPr>
          <w:rFonts w:ascii="Times New Roman" w:hAnsi="Times New Roman" w:cs="Lucida Grande"/>
        </w:rPr>
        <w:t>Proprio tali misure e la previsione della nuova riforma del titolo V che pone a carico di tutti gli enti territoriali l’onere di concorrere</w:t>
      </w:r>
      <w:r w:rsidR="002773C6" w:rsidRPr="00F82FEC">
        <w:rPr>
          <w:rFonts w:ascii="Times New Roman" w:hAnsi="Times New Roman" w:cs="Lucida Grande"/>
        </w:rPr>
        <w:t xml:space="preserve"> al rispetto degli equilibri finanziari derivanti dall’UE, ampliando la potestà legisl</w:t>
      </w:r>
      <w:r w:rsidR="00F82FEC">
        <w:rPr>
          <w:rFonts w:ascii="Times New Roman" w:hAnsi="Times New Roman" w:cs="Lucida Grande"/>
        </w:rPr>
        <w:t>a</w:t>
      </w:r>
      <w:r w:rsidR="002773C6" w:rsidRPr="00F82FEC">
        <w:rPr>
          <w:rFonts w:ascii="Times New Roman" w:hAnsi="Times New Roman" w:cs="Lucida Grande"/>
        </w:rPr>
        <w:t>tiva esclusiva dello Stato, pongono</w:t>
      </w:r>
      <w:r w:rsidRPr="00F82FEC">
        <w:rPr>
          <w:rFonts w:ascii="Times New Roman" w:hAnsi="Times New Roman" w:cs="Lucida Grande"/>
        </w:rPr>
        <w:t xml:space="preserve"> </w:t>
      </w:r>
      <w:r w:rsidR="002773C6" w:rsidRPr="00F82FEC">
        <w:rPr>
          <w:rFonts w:ascii="Times New Roman" w:hAnsi="Times New Roman" w:cs="Lucida Grande"/>
        </w:rPr>
        <w:t>l’esigenza ormai indifferibile di rappresentare effettivamente tutti gli enti territoriali in una delle due Camere del P</w:t>
      </w:r>
      <w:r w:rsidR="00F82FEC">
        <w:rPr>
          <w:rFonts w:ascii="Times New Roman" w:hAnsi="Times New Roman" w:cs="Lucida Grande"/>
        </w:rPr>
        <w:t>a</w:t>
      </w:r>
      <w:r w:rsidR="002773C6" w:rsidRPr="00F82FEC">
        <w:rPr>
          <w:rFonts w:ascii="Times New Roman" w:hAnsi="Times New Roman" w:cs="Lucida Grande"/>
        </w:rPr>
        <w:t>rlamento e di attivare adeguati strumenti di garan</w:t>
      </w:r>
      <w:r w:rsidR="00F82FEC">
        <w:rPr>
          <w:rFonts w:ascii="Times New Roman" w:hAnsi="Times New Roman" w:cs="Lucida Grande"/>
        </w:rPr>
        <w:t>z</w:t>
      </w:r>
      <w:r w:rsidR="002773C6" w:rsidRPr="00F82FEC">
        <w:rPr>
          <w:rFonts w:ascii="Times New Roman" w:hAnsi="Times New Roman" w:cs="Lucida Grande"/>
        </w:rPr>
        <w:t>ia per gli enti locali, qual</w:t>
      </w:r>
      <w:r w:rsidR="00F82FEC">
        <w:rPr>
          <w:rFonts w:ascii="Times New Roman" w:hAnsi="Times New Roman" w:cs="Lucida Grande"/>
        </w:rPr>
        <w:t>i</w:t>
      </w:r>
      <w:r w:rsidR="002773C6" w:rsidRPr="00F82FEC">
        <w:rPr>
          <w:rFonts w:ascii="Times New Roman" w:hAnsi="Times New Roman" w:cs="Lucida Grande"/>
        </w:rPr>
        <w:t xml:space="preserve"> la possib</w:t>
      </w:r>
      <w:r w:rsidR="00F82FEC">
        <w:rPr>
          <w:rFonts w:ascii="Times New Roman" w:hAnsi="Times New Roman" w:cs="Lucida Grande"/>
        </w:rPr>
        <w:t>i</w:t>
      </w:r>
      <w:r w:rsidR="002773C6" w:rsidRPr="00F82FEC">
        <w:rPr>
          <w:rFonts w:ascii="Times New Roman" w:hAnsi="Times New Roman" w:cs="Lucida Grande"/>
        </w:rPr>
        <w:t>lità di ricorrere innanzi alla Corte costituzionale per lesione dei margini di autonomia e sussidiarietà.</w:t>
      </w:r>
      <w:r w:rsidRPr="00F82FEC">
        <w:rPr>
          <w:rFonts w:ascii="Times New Roman" w:hAnsi="Times New Roman" w:cs="Lucida Grande"/>
        </w:rPr>
        <w:t xml:space="preserve"> </w:t>
      </w:r>
    </w:p>
    <w:p w:rsidR="00295B01" w:rsidRDefault="00295B01" w:rsidP="00F82FEC">
      <w:pPr>
        <w:ind w:firstLine="426"/>
      </w:pPr>
    </w:p>
    <w:sectPr w:rsidR="00295B01" w:rsidSect="005905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2D0"/>
    <w:multiLevelType w:val="hybridMultilevel"/>
    <w:tmpl w:val="B01CC926"/>
    <w:lvl w:ilvl="0" w:tplc="8842CEB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DF6C51"/>
    <w:multiLevelType w:val="hybridMultilevel"/>
    <w:tmpl w:val="C696F8DA"/>
    <w:lvl w:ilvl="0" w:tplc="AA90F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75A30"/>
    <w:multiLevelType w:val="hybridMultilevel"/>
    <w:tmpl w:val="C8FC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48DD"/>
    <w:multiLevelType w:val="hybridMultilevel"/>
    <w:tmpl w:val="1EE0F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0575"/>
    <w:rsid w:val="0009210C"/>
    <w:rsid w:val="0013107E"/>
    <w:rsid w:val="002773C6"/>
    <w:rsid w:val="00295B01"/>
    <w:rsid w:val="002A06F0"/>
    <w:rsid w:val="003B7EF0"/>
    <w:rsid w:val="00455D95"/>
    <w:rsid w:val="004A382D"/>
    <w:rsid w:val="0051077E"/>
    <w:rsid w:val="00534153"/>
    <w:rsid w:val="00590575"/>
    <w:rsid w:val="005F0C49"/>
    <w:rsid w:val="0069458D"/>
    <w:rsid w:val="006C577D"/>
    <w:rsid w:val="00787B60"/>
    <w:rsid w:val="00831D2D"/>
    <w:rsid w:val="008B483A"/>
    <w:rsid w:val="008C03A9"/>
    <w:rsid w:val="008D1D42"/>
    <w:rsid w:val="008F1733"/>
    <w:rsid w:val="0096363C"/>
    <w:rsid w:val="009678DF"/>
    <w:rsid w:val="009E2AD3"/>
    <w:rsid w:val="00A174A5"/>
    <w:rsid w:val="00AF6821"/>
    <w:rsid w:val="00AF6E78"/>
    <w:rsid w:val="00B51BDC"/>
    <w:rsid w:val="00BD1C13"/>
    <w:rsid w:val="00BD5682"/>
    <w:rsid w:val="00BE4CC8"/>
    <w:rsid w:val="00C21B9F"/>
    <w:rsid w:val="00CA1181"/>
    <w:rsid w:val="00CD3291"/>
    <w:rsid w:val="00D6145C"/>
    <w:rsid w:val="00D6796E"/>
    <w:rsid w:val="00D91E7C"/>
    <w:rsid w:val="00DA3021"/>
    <w:rsid w:val="00DA5CA1"/>
    <w:rsid w:val="00E07DCC"/>
    <w:rsid w:val="00E17D08"/>
    <w:rsid w:val="00E51E0D"/>
    <w:rsid w:val="00E910F1"/>
    <w:rsid w:val="00F2708E"/>
    <w:rsid w:val="00F728B2"/>
    <w:rsid w:val="00F82FEC"/>
    <w:rsid w:val="00F970B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E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575"/>
    <w:pPr>
      <w:ind w:left="720"/>
      <w:contextualSpacing/>
    </w:pPr>
  </w:style>
  <w:style w:type="paragraph" w:styleId="NormaleWeb">
    <w:name w:val="Normal (Web)"/>
    <w:basedOn w:val="Normale"/>
    <w:unhideWhenUsed/>
    <w:rsid w:val="00F82FEC"/>
    <w:pPr>
      <w:spacing w:after="0"/>
    </w:pPr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787</Words>
  <Characters>4490</Characters>
  <Application>Microsoft Office Word</Application>
  <DocSecurity>0</DocSecurity>
  <Lines>37</Lines>
  <Paragraphs>10</Paragraphs>
  <ScaleCrop>false</ScaleCrop>
  <Company>Luiss - Guido Carli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laddessi</cp:lastModifiedBy>
  <cp:revision>13</cp:revision>
  <dcterms:created xsi:type="dcterms:W3CDTF">2012-11-21T16:57:00Z</dcterms:created>
  <dcterms:modified xsi:type="dcterms:W3CDTF">2012-11-23T08:28:00Z</dcterms:modified>
</cp:coreProperties>
</file>